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EB766" w14:textId="3A3D1B36" w:rsidR="004F1681" w:rsidRPr="00FF71B7" w:rsidRDefault="00DB0951" w:rsidP="00FF71B7">
      <w:pPr>
        <w:ind w:firstLine="0"/>
        <w:jc w:val="center"/>
        <w:rPr>
          <w:rFonts w:cs="Times New Roman"/>
          <w:b/>
          <w:bCs/>
          <w:sz w:val="28"/>
          <w:szCs w:val="28"/>
        </w:rPr>
      </w:pPr>
      <w:r w:rsidRPr="00FF71B7">
        <w:rPr>
          <w:rFonts w:cs="Times New Roman"/>
          <w:b/>
          <w:bCs/>
          <w:sz w:val="28"/>
          <w:szCs w:val="28"/>
        </w:rPr>
        <w:t xml:space="preserve">PROTOCOLO CLÍNICO E DIRETRIZES TERAPÊUTICAS </w:t>
      </w:r>
      <w:r w:rsidR="0007784C">
        <w:rPr>
          <w:rFonts w:cs="Times New Roman"/>
          <w:b/>
          <w:bCs/>
          <w:sz w:val="28"/>
          <w:szCs w:val="28"/>
        </w:rPr>
        <w:t xml:space="preserve">(PCDT) </w:t>
      </w:r>
      <w:r w:rsidR="00BF4A66" w:rsidRPr="00FF71B7">
        <w:rPr>
          <w:rFonts w:cs="Times New Roman"/>
          <w:b/>
          <w:bCs/>
          <w:sz w:val="28"/>
          <w:szCs w:val="28"/>
        </w:rPr>
        <w:t>DE</w:t>
      </w:r>
      <w:r w:rsidR="00381A9B" w:rsidRPr="00FF71B7">
        <w:rPr>
          <w:rFonts w:cs="Times New Roman"/>
          <w:b/>
          <w:bCs/>
          <w:sz w:val="28"/>
          <w:szCs w:val="28"/>
        </w:rPr>
        <w:t xml:space="preserve"> </w:t>
      </w:r>
      <w:r w:rsidRPr="00FF71B7">
        <w:rPr>
          <w:rFonts w:cs="Times New Roman"/>
          <w:b/>
          <w:bCs/>
          <w:sz w:val="28"/>
          <w:szCs w:val="28"/>
        </w:rPr>
        <w:t xml:space="preserve">TRATAMENTO </w:t>
      </w:r>
      <w:r w:rsidR="00BE7FE1" w:rsidRPr="00FF71B7">
        <w:rPr>
          <w:rFonts w:cs="Times New Roman"/>
          <w:b/>
          <w:bCs/>
          <w:sz w:val="28"/>
          <w:szCs w:val="28"/>
        </w:rPr>
        <w:t xml:space="preserve">MEDICAMENTOSO </w:t>
      </w:r>
      <w:r w:rsidR="00BF4A66" w:rsidRPr="00FF71B7">
        <w:rPr>
          <w:rFonts w:cs="Times New Roman"/>
          <w:b/>
          <w:bCs/>
          <w:sz w:val="28"/>
          <w:szCs w:val="28"/>
        </w:rPr>
        <w:t xml:space="preserve">DA </w:t>
      </w:r>
      <w:r w:rsidR="00BE7FE1" w:rsidRPr="00FF71B7">
        <w:rPr>
          <w:rFonts w:cs="Times New Roman"/>
          <w:b/>
          <w:bCs/>
          <w:sz w:val="28"/>
          <w:szCs w:val="28"/>
        </w:rPr>
        <w:t>OBESIDADE EM CRIANÇAS</w:t>
      </w:r>
      <w:r w:rsidR="006E1B97" w:rsidRPr="00FF71B7">
        <w:rPr>
          <w:rFonts w:cs="Times New Roman"/>
          <w:b/>
          <w:bCs/>
          <w:sz w:val="28"/>
          <w:szCs w:val="28"/>
        </w:rPr>
        <w:t xml:space="preserve"> E</w:t>
      </w:r>
      <w:r w:rsidR="00BE7FE1" w:rsidRPr="00FF71B7">
        <w:rPr>
          <w:rFonts w:cs="Times New Roman"/>
          <w:b/>
          <w:bCs/>
          <w:sz w:val="28"/>
          <w:szCs w:val="28"/>
        </w:rPr>
        <w:t xml:space="preserve"> ADOLESCENTES</w:t>
      </w:r>
      <w:r w:rsidR="00961F71" w:rsidRPr="00FF71B7">
        <w:rPr>
          <w:rFonts w:cs="Times New Roman"/>
          <w:b/>
          <w:bCs/>
          <w:sz w:val="28"/>
          <w:szCs w:val="28"/>
        </w:rPr>
        <w:t xml:space="preserve"> COM DOZE</w:t>
      </w:r>
      <w:r w:rsidR="006E1B97" w:rsidRPr="00FF71B7">
        <w:rPr>
          <w:rFonts w:cs="Times New Roman"/>
          <w:b/>
          <w:bCs/>
          <w:sz w:val="28"/>
          <w:szCs w:val="28"/>
        </w:rPr>
        <w:t xml:space="preserve"> </w:t>
      </w:r>
      <w:r w:rsidR="00961F71" w:rsidRPr="00FF71B7">
        <w:rPr>
          <w:rFonts w:cs="Times New Roman"/>
          <w:b/>
          <w:bCs/>
          <w:sz w:val="28"/>
          <w:szCs w:val="28"/>
        </w:rPr>
        <w:t>A</w:t>
      </w:r>
      <w:r w:rsidR="00BE7FE1" w:rsidRPr="00FF71B7">
        <w:rPr>
          <w:rFonts w:cs="Times New Roman"/>
          <w:b/>
          <w:bCs/>
          <w:sz w:val="28"/>
          <w:szCs w:val="28"/>
        </w:rPr>
        <w:t xml:space="preserve"> </w:t>
      </w:r>
      <w:r w:rsidR="00961F71" w:rsidRPr="00FF71B7">
        <w:rPr>
          <w:rFonts w:cs="Times New Roman"/>
          <w:b/>
          <w:bCs/>
          <w:sz w:val="28"/>
          <w:szCs w:val="28"/>
        </w:rPr>
        <w:t>VINTE E UM</w:t>
      </w:r>
      <w:r w:rsidR="00BE7FE1" w:rsidRPr="00FF71B7">
        <w:rPr>
          <w:rFonts w:cs="Times New Roman"/>
          <w:b/>
          <w:bCs/>
          <w:sz w:val="28"/>
          <w:szCs w:val="28"/>
        </w:rPr>
        <w:t xml:space="preserve"> ANOS </w:t>
      </w:r>
      <w:r w:rsidR="00961F71" w:rsidRPr="00FF71B7">
        <w:rPr>
          <w:rFonts w:cs="Times New Roman"/>
          <w:b/>
          <w:bCs/>
          <w:sz w:val="28"/>
          <w:szCs w:val="28"/>
        </w:rPr>
        <w:t xml:space="preserve">DE IDADE </w:t>
      </w:r>
      <w:r w:rsidRPr="00FF71B7">
        <w:rPr>
          <w:rFonts w:cs="Times New Roman"/>
          <w:b/>
          <w:bCs/>
          <w:sz w:val="28"/>
          <w:szCs w:val="28"/>
        </w:rPr>
        <w:t>NO ESTADO DE GOIÁS</w:t>
      </w:r>
      <w:r w:rsidR="00FF71B7" w:rsidRPr="00FF71B7">
        <w:rPr>
          <w:rFonts w:cs="Times New Roman"/>
          <w:b/>
          <w:bCs/>
          <w:sz w:val="28"/>
          <w:szCs w:val="28"/>
        </w:rPr>
        <w:t xml:space="preserve"> – </w:t>
      </w:r>
      <w:r w:rsidRPr="00FF71B7">
        <w:rPr>
          <w:rFonts w:cs="Times New Roman"/>
          <w:b/>
          <w:bCs/>
          <w:sz w:val="28"/>
          <w:szCs w:val="28"/>
        </w:rPr>
        <w:t xml:space="preserve">versão </w:t>
      </w:r>
      <w:r w:rsidR="00BE7FE1" w:rsidRPr="00FF71B7">
        <w:rPr>
          <w:rFonts w:cs="Times New Roman"/>
          <w:b/>
          <w:bCs/>
          <w:sz w:val="28"/>
          <w:szCs w:val="28"/>
        </w:rPr>
        <w:t xml:space="preserve">janeiro de </w:t>
      </w:r>
      <w:r w:rsidRPr="00FF71B7">
        <w:rPr>
          <w:rFonts w:cs="Times New Roman"/>
          <w:b/>
          <w:bCs/>
          <w:sz w:val="28"/>
          <w:szCs w:val="28"/>
        </w:rPr>
        <w:t>202</w:t>
      </w:r>
      <w:r w:rsidR="00BE7FE1" w:rsidRPr="00FF71B7">
        <w:rPr>
          <w:rFonts w:cs="Times New Roman"/>
          <w:b/>
          <w:bCs/>
          <w:sz w:val="28"/>
          <w:szCs w:val="28"/>
        </w:rPr>
        <w:t>3</w:t>
      </w:r>
    </w:p>
    <w:p w14:paraId="52ECFB82" w14:textId="77777777" w:rsidR="00354FD8" w:rsidRDefault="00354FD8" w:rsidP="002711B4">
      <w:pPr>
        <w:ind w:firstLine="0"/>
        <w:jc w:val="center"/>
      </w:pPr>
    </w:p>
    <w:p w14:paraId="264EB473" w14:textId="6512F2B3" w:rsidR="004F1681" w:rsidRPr="00381A9B" w:rsidRDefault="00DB0951" w:rsidP="00FF71B7">
      <w:pPr>
        <w:spacing w:line="240" w:lineRule="auto"/>
        <w:ind w:left="3261" w:firstLine="0"/>
        <w:jc w:val="center"/>
        <w:rPr>
          <w:sz w:val="22"/>
          <w:szCs w:val="22"/>
        </w:rPr>
      </w:pPr>
      <w:r w:rsidRPr="00381A9B">
        <w:rPr>
          <w:rFonts w:cs="Times New Roman"/>
          <w:b/>
          <w:bCs/>
          <w:color w:val="000000"/>
          <w:sz w:val="22"/>
          <w:szCs w:val="22"/>
        </w:rPr>
        <w:t xml:space="preserve">Autoria: </w:t>
      </w:r>
      <w:r w:rsidR="00BF4A66" w:rsidRPr="00381A9B">
        <w:rPr>
          <w:rFonts w:cs="Times New Roman"/>
          <w:b/>
          <w:bCs/>
          <w:color w:val="000000"/>
          <w:sz w:val="22"/>
          <w:szCs w:val="22"/>
        </w:rPr>
        <w:t xml:space="preserve">Central Estadual de Medicamentos de Alto Custo Juarez Barbosa (CEMAC-GO), </w:t>
      </w:r>
      <w:r w:rsidR="00666B23">
        <w:rPr>
          <w:rFonts w:cs="Times New Roman"/>
          <w:b/>
          <w:bCs/>
          <w:color w:val="000000"/>
          <w:sz w:val="22"/>
          <w:szCs w:val="22"/>
        </w:rPr>
        <w:t xml:space="preserve">Coordenação </w:t>
      </w:r>
      <w:r w:rsidRPr="00381A9B">
        <w:rPr>
          <w:rFonts w:cs="Times New Roman"/>
          <w:b/>
          <w:bCs/>
          <w:color w:val="000000"/>
          <w:sz w:val="22"/>
          <w:szCs w:val="22"/>
        </w:rPr>
        <w:t>de Avaliação de Tecnologias em Sa</w:t>
      </w:r>
      <w:r w:rsidR="00BF4A66" w:rsidRPr="00381A9B">
        <w:rPr>
          <w:rFonts w:cs="Times New Roman"/>
          <w:b/>
          <w:bCs/>
          <w:color w:val="000000"/>
          <w:sz w:val="22"/>
          <w:szCs w:val="22"/>
        </w:rPr>
        <w:t>ú</w:t>
      </w:r>
      <w:r w:rsidRPr="00381A9B">
        <w:rPr>
          <w:rFonts w:cs="Times New Roman"/>
          <w:b/>
          <w:bCs/>
          <w:color w:val="000000"/>
          <w:sz w:val="22"/>
          <w:szCs w:val="22"/>
        </w:rPr>
        <w:t>de (</w:t>
      </w:r>
      <w:r w:rsidR="00666B23">
        <w:rPr>
          <w:rFonts w:cs="Times New Roman"/>
          <w:b/>
          <w:bCs/>
          <w:color w:val="000000"/>
          <w:sz w:val="22"/>
          <w:szCs w:val="22"/>
        </w:rPr>
        <w:t>C</w:t>
      </w:r>
      <w:r w:rsidRPr="00381A9B">
        <w:rPr>
          <w:rFonts w:cs="Times New Roman"/>
          <w:b/>
          <w:bCs/>
          <w:color w:val="000000"/>
          <w:sz w:val="22"/>
          <w:szCs w:val="22"/>
        </w:rPr>
        <w:t>ATS</w:t>
      </w:r>
      <w:r w:rsidR="00BF4A66" w:rsidRPr="00381A9B">
        <w:rPr>
          <w:rFonts w:cs="Times New Roman"/>
          <w:b/>
          <w:bCs/>
          <w:color w:val="000000"/>
          <w:sz w:val="22"/>
          <w:szCs w:val="22"/>
        </w:rPr>
        <w:t>/</w:t>
      </w:r>
      <w:r w:rsidRPr="00381A9B">
        <w:rPr>
          <w:rFonts w:cs="Times New Roman"/>
          <w:b/>
          <w:bCs/>
          <w:color w:val="000000"/>
          <w:sz w:val="22"/>
          <w:szCs w:val="22"/>
        </w:rPr>
        <w:t>SES</w:t>
      </w:r>
      <w:r w:rsidR="00BF4A66" w:rsidRPr="00381A9B">
        <w:rPr>
          <w:rFonts w:cs="Times New Roman"/>
          <w:b/>
          <w:bCs/>
          <w:color w:val="000000"/>
          <w:sz w:val="22"/>
          <w:szCs w:val="22"/>
        </w:rPr>
        <w:t>-</w:t>
      </w:r>
      <w:r w:rsidRPr="00381A9B">
        <w:rPr>
          <w:rFonts w:cs="Times New Roman"/>
          <w:b/>
          <w:bCs/>
          <w:color w:val="000000"/>
          <w:sz w:val="22"/>
          <w:szCs w:val="22"/>
        </w:rPr>
        <w:t>GO)</w:t>
      </w:r>
      <w:r w:rsidR="00BF4A66" w:rsidRPr="00381A9B">
        <w:rPr>
          <w:rFonts w:cs="Times New Roman"/>
          <w:b/>
          <w:bCs/>
          <w:color w:val="000000"/>
          <w:sz w:val="22"/>
          <w:szCs w:val="22"/>
        </w:rPr>
        <w:t xml:space="preserve"> e</w:t>
      </w:r>
      <w:r w:rsidRPr="00381A9B">
        <w:rPr>
          <w:rFonts w:cs="Times New Roman"/>
          <w:b/>
          <w:bCs/>
          <w:color w:val="000000"/>
          <w:sz w:val="22"/>
          <w:szCs w:val="22"/>
        </w:rPr>
        <w:t xml:space="preserve"> CEITS-GO</w:t>
      </w:r>
    </w:p>
    <w:p w14:paraId="346D64F0" w14:textId="6DDC10C9" w:rsidR="004F1681" w:rsidRDefault="004F1681" w:rsidP="002711B4">
      <w:pPr>
        <w:ind w:firstLine="0"/>
        <w:jc w:val="center"/>
        <w:rPr>
          <w:rFonts w:cs="Times New Roman"/>
          <w:i/>
        </w:rPr>
      </w:pPr>
    </w:p>
    <w:p w14:paraId="68473F52" w14:textId="6B457EC1" w:rsidR="001003CA" w:rsidRDefault="00DB0951" w:rsidP="00623284">
      <w:pPr>
        <w:spacing w:line="240" w:lineRule="auto"/>
        <w:ind w:left="2268" w:firstLine="0"/>
        <w:rPr>
          <w:rFonts w:cs="Times New Roman"/>
          <w:i/>
          <w:color w:val="000000"/>
          <w:sz w:val="20"/>
          <w:szCs w:val="20"/>
        </w:rPr>
      </w:pPr>
      <w:r w:rsidRPr="00381A9B">
        <w:rPr>
          <w:rFonts w:cs="Times New Roman"/>
          <w:i/>
          <w:color w:val="000000"/>
          <w:sz w:val="20"/>
          <w:szCs w:val="20"/>
        </w:rPr>
        <w:t xml:space="preserve">Este protocolo estadual e o PCDT do Ministério da Saúde, se existir, devem ser considerados como referência diagnóstica e terapêutica pelos profissionais de saúde, em Goiás, para o atendimento de </w:t>
      </w:r>
      <w:r w:rsidRPr="00381A9B">
        <w:rPr>
          <w:rFonts w:eastAsia="Calibri" w:cs="Times New Roman"/>
          <w:i/>
          <w:color w:val="000000"/>
          <w:sz w:val="20"/>
          <w:szCs w:val="20"/>
          <w:lang w:eastAsia="en-US" w:bidi="ar-SA"/>
        </w:rPr>
        <w:t>pessoas com o transtorno de saúde supracitado</w:t>
      </w:r>
      <w:r w:rsidRPr="00381A9B">
        <w:rPr>
          <w:rFonts w:cs="Times New Roman"/>
          <w:i/>
          <w:color w:val="000000"/>
          <w:sz w:val="20"/>
          <w:szCs w:val="20"/>
        </w:rPr>
        <w:t>.</w:t>
      </w:r>
    </w:p>
    <w:p w14:paraId="418A861B" w14:textId="77777777" w:rsidR="004F1681" w:rsidRDefault="004F1681" w:rsidP="00FF71B7">
      <w:pPr>
        <w:ind w:firstLine="0"/>
        <w:jc w:val="center"/>
        <w:rPr>
          <w:rFonts w:cs="Times New Roman"/>
        </w:rPr>
      </w:pPr>
    </w:p>
    <w:p w14:paraId="26FAF8D9" w14:textId="77777777" w:rsidR="004F1681" w:rsidRDefault="00DB0951" w:rsidP="00623284">
      <w:pPr>
        <w:pStyle w:val="Ttulo1"/>
      </w:pPr>
      <w:r>
        <w:t>1 INTRODUÇÃO</w:t>
      </w:r>
    </w:p>
    <w:p w14:paraId="465ACDF7" w14:textId="7756CD74" w:rsidR="006E1B97" w:rsidRDefault="006E1B97" w:rsidP="006E1B97">
      <w:pPr>
        <w:pStyle w:val="Corpodetexto"/>
        <w:spacing w:after="0" w:line="360" w:lineRule="auto"/>
        <w:jc w:val="both"/>
      </w:pPr>
      <w:r>
        <w:t xml:space="preserve">Obesidade é </w:t>
      </w:r>
      <w:r w:rsidR="00BA509C">
        <w:t>um transtorno</w:t>
      </w:r>
      <w:r>
        <w:t xml:space="preserve"> complex</w:t>
      </w:r>
      <w:r w:rsidR="00BA509C">
        <w:t>o de saúde</w:t>
      </w:r>
      <w:r>
        <w:t>, caracterizada por excesso de peso em relação à altura e uma série de disfunções provocadas pelo tecido gorduroso, que é metabolicamente ativo. A obesidade é uma realidade alarmante em todas as populações do globo, com índices crescentes entre crianças e adolescentes. No Brasil, estudos recentes demonstraram índices crescentes de obesidade entre crianças e adolescentes (BRUM JARDIM; LEONEZA DE SOUZA, 2017; CORRÊA et al., 2020)</w:t>
      </w:r>
    </w:p>
    <w:p w14:paraId="249C51ED" w14:textId="3754CFDD" w:rsidR="006E1B97" w:rsidRDefault="006E1B97" w:rsidP="006E1B97">
      <w:pPr>
        <w:pStyle w:val="Corpodetexto"/>
        <w:spacing w:after="0" w:line="360" w:lineRule="auto"/>
        <w:jc w:val="both"/>
      </w:pPr>
      <w:r>
        <w:t>A obesidade, segundo a Organização Mundial de Saúde, é um dos mais graves problemas de saúde a ser enfrentado</w:t>
      </w:r>
      <w:r w:rsidR="00D5373C">
        <w:t xml:space="preserve"> </w:t>
      </w:r>
      <w:r>
        <w:t xml:space="preserve">(DIAS et al., 2017). Frequentemente se apresenta associado a outras morbidades como: hipertensão arterial sistêmica (HAS), dislipidemia, síndrome metabólica, alterações do metabolismo da glicose (glicemia de jejum alterada, intolerância oral a glicose e diabetes tipo 2), doença renal, osteoartrose, câncer, apneia do sono, doença hepática gordurosa não alcoólica (DHGNA), litíase biliar, gota, doença cardiovascular, de um total de 190 doenças relacionadas a obesidade (UPADHYAY et al., 2018). Estudos epidemiológicos </w:t>
      </w:r>
      <w:r w:rsidR="00FF71B7">
        <w:t>demonstram</w:t>
      </w:r>
      <w:r>
        <w:t xml:space="preserve"> que a perda de peso proporciona a melhora dessas doenças, e reduz os fatores de risco e a mortalidade (CERCATO; FONSECA, 2019; DAMBHA-MILLER et al., 2020; FALUDI et al., 2017; GARVEY et al., 2016; STANFORD, 2019).</w:t>
      </w:r>
    </w:p>
    <w:p w14:paraId="1BFFB8BB" w14:textId="70B4449D" w:rsidR="006E1B97" w:rsidRDefault="006E1B97" w:rsidP="006E1B97">
      <w:pPr>
        <w:pStyle w:val="Corpodetexto1"/>
        <w:spacing w:after="0" w:line="360" w:lineRule="auto"/>
      </w:pPr>
      <w:r>
        <w:lastRenderedPageBreak/>
        <w:t xml:space="preserve">A obesidade é causa de incapacidade funcional, de redução da qualidade de vida e expectativa de vida. </w:t>
      </w:r>
      <w:r w:rsidR="00667B39">
        <w:t>As p</w:t>
      </w:r>
      <w:r>
        <w:t>essoas com</w:t>
      </w:r>
      <w:r w:rsidR="00667B39">
        <w:t xml:space="preserve"> índice de massa corporal</w:t>
      </w:r>
      <w:r>
        <w:t xml:space="preserve"> </w:t>
      </w:r>
      <w:r w:rsidR="00667B39">
        <w:t>(</w:t>
      </w:r>
      <w:r>
        <w:t>IMC</w:t>
      </w:r>
      <w:r w:rsidR="00667B39">
        <w:t>)</w:t>
      </w:r>
      <w:r>
        <w:t xml:space="preserve"> </w:t>
      </w:r>
      <w:r w:rsidR="00667B39">
        <w:t>ideal</w:t>
      </w:r>
      <w:r>
        <w:t xml:space="preserve"> t</w:t>
      </w:r>
      <w:r w:rsidR="00667B39">
        <w:t>ê</w:t>
      </w:r>
      <w:r>
        <w:t xml:space="preserve">m 80% de chance de alcançar </w:t>
      </w:r>
      <w:r w:rsidR="00F975F1">
        <w:t xml:space="preserve">a idade de </w:t>
      </w:r>
      <w:r>
        <w:t>70 anos. Esse percentual cai para 60%</w:t>
      </w:r>
      <w:r w:rsidR="00F975F1">
        <w:t>,</w:t>
      </w:r>
      <w:r>
        <w:t xml:space="preserve"> se </w:t>
      </w:r>
      <w:r w:rsidR="00F975F1">
        <w:t xml:space="preserve">o </w:t>
      </w:r>
      <w:r>
        <w:t xml:space="preserve">IMC </w:t>
      </w:r>
      <w:r w:rsidR="00F975F1">
        <w:t xml:space="preserve">estiver </w:t>
      </w:r>
      <w:r>
        <w:t>entre 35-40 kg/m</w:t>
      </w:r>
      <w:r w:rsidRPr="00F975F1">
        <w:rPr>
          <w:vertAlign w:val="superscript"/>
        </w:rPr>
        <w:t>2</w:t>
      </w:r>
      <w:r>
        <w:t xml:space="preserve"> e para 50%</w:t>
      </w:r>
      <w:r w:rsidR="00F975F1">
        <w:t>,</w:t>
      </w:r>
      <w:r>
        <w:t xml:space="preserve"> </w:t>
      </w:r>
      <w:r w:rsidR="00F975F1">
        <w:t>s</w:t>
      </w:r>
      <w:r>
        <w:t>e IMC entre 40-50</w:t>
      </w:r>
      <w:r w:rsidR="00F975F1">
        <w:t xml:space="preserve"> kg/m</w:t>
      </w:r>
      <w:r w:rsidR="00F975F1" w:rsidRPr="00F975F1">
        <w:rPr>
          <w:vertAlign w:val="superscript"/>
        </w:rPr>
        <w:t>2</w:t>
      </w:r>
      <w:r>
        <w:t xml:space="preserve"> (WHITLOCK et al., 2009). Em se tratando de crianças e adolescentes, todos os indivíduos classificados como portadores de sobrepeso e obesidade devem ser estimulados para as ações de vigilância alimentar e nutricional, de promoção da alimentação adequada e saudável e atividade física, além das medidas crescentes de intervenção no estilo de vida </w:t>
      </w:r>
      <w:r w:rsidR="00CE363A">
        <w:t>(</w:t>
      </w:r>
      <w:r w:rsidR="00CE363A" w:rsidRPr="00BD13E9">
        <w:rPr>
          <w:rFonts w:cs="Times New Roman"/>
          <w:color w:val="auto"/>
        </w:rPr>
        <w:t>ASSOCIAÇÃO BRASILEIRA PARA O ESTUDO DA OBESIDADE E DA SÍNDROME METABÓLICA</w:t>
      </w:r>
      <w:r w:rsidR="00CE363A">
        <w:rPr>
          <w:rFonts w:cs="Times New Roman"/>
          <w:color w:val="auto"/>
        </w:rPr>
        <w:t>, 2016</w:t>
      </w:r>
      <w:r>
        <w:t xml:space="preserve">). </w:t>
      </w:r>
    </w:p>
    <w:p w14:paraId="3C5EAA49" w14:textId="6A20461C" w:rsidR="006E1B97" w:rsidRDefault="006E1B97" w:rsidP="006E1B97">
      <w:pPr>
        <w:pStyle w:val="Corpodetexto"/>
        <w:spacing w:after="0" w:line="360" w:lineRule="auto"/>
        <w:jc w:val="both"/>
      </w:pPr>
      <w:r>
        <w:t xml:space="preserve">A OMS/OPAS divulgou alerta para a intervenção na evolução da obesidade considerando a epidemia global, com enfoque no acúmulo excessivo de gordura e o dano para saúde. Em atenção ao desafio do século </w:t>
      </w:r>
      <w:r w:rsidR="000E22AD">
        <w:t>XXI,</w:t>
      </w:r>
      <w:r>
        <w:t xml:space="preserve"> com a expansão da obesidade infantil, o desequilíbrio entre consumo e gasto energético, a interferência do ambiente e da comunidade nas escolhas saudáveis e o impacto da publicidade para esse grupo. Deverá haver esforço para prevenção, pela alimentação saudável e estímulo a níveis adequados de atividade física e a importância da abordagem multisetorial, multidisciplinar e o impacto cultural (NISHTAR; GLUCKMAN; ARMSTRONG, 2016). </w:t>
      </w:r>
    </w:p>
    <w:p w14:paraId="16B78FE2" w14:textId="52E86130" w:rsidR="006E1B97" w:rsidRDefault="006E1B97" w:rsidP="006E1B97">
      <w:pPr>
        <w:pStyle w:val="Corpodetexto"/>
        <w:spacing w:after="0" w:line="360" w:lineRule="auto"/>
        <w:jc w:val="both"/>
      </w:pPr>
      <w:r>
        <w:t xml:space="preserve">A obesidade é um </w:t>
      </w:r>
      <w:r w:rsidR="00BA509C">
        <w:t xml:space="preserve">transtorno </w:t>
      </w:r>
      <w:r>
        <w:t>crônic</w:t>
      </w:r>
      <w:r w:rsidR="00BA509C">
        <w:t>o</w:t>
      </w:r>
      <w:r>
        <w:t>, complex</w:t>
      </w:r>
      <w:r w:rsidR="00BA509C">
        <w:t>o</w:t>
      </w:r>
      <w:r>
        <w:t xml:space="preserve"> e multifatorial, envolve fatores ambientais, estilo de vida, hormonais e genéticos, acomete indivíduos de todas as idades e quanto mais cedo </w:t>
      </w:r>
      <w:r w:rsidR="005C3C45">
        <w:t>ocorre</w:t>
      </w:r>
      <w:r>
        <w:t>, maiores são os riscos</w:t>
      </w:r>
      <w:r w:rsidR="005C3C45">
        <w:t xml:space="preserve"> à saúde</w:t>
      </w:r>
      <w:r>
        <w:t>. Uma criança com obesidade tem 80% chance de tornar-se um adulto com obesidade (FREEDMAN et al., 2007)</w:t>
      </w:r>
    </w:p>
    <w:p w14:paraId="70CB0C4E" w14:textId="05844782" w:rsidR="00354FD8" w:rsidRPr="00623284" w:rsidRDefault="00DB0951" w:rsidP="00623284">
      <w:pPr>
        <w:pStyle w:val="Ttulo1"/>
      </w:pPr>
      <w:r>
        <w:t xml:space="preserve">2 CLASSIFICAÇÃO INTERNACIONAL DE DOENÇAS E PROBLEMAS RELACIONADOS À SAÚDE </w:t>
      </w:r>
      <w:r w:rsidR="009914D7">
        <w:t>–</w:t>
      </w:r>
      <w:r>
        <w:t xml:space="preserve"> CID-10</w:t>
      </w:r>
    </w:p>
    <w:p w14:paraId="35F614E9" w14:textId="139E8FEF" w:rsidR="006E1B97" w:rsidRPr="006E1B97" w:rsidRDefault="006E1B97" w:rsidP="006E1B97">
      <w:pPr>
        <w:pStyle w:val="PargrafodaLista"/>
        <w:numPr>
          <w:ilvl w:val="0"/>
          <w:numId w:val="3"/>
        </w:numPr>
        <w:rPr>
          <w:color w:val="auto"/>
        </w:rPr>
      </w:pPr>
      <w:r w:rsidRPr="006E1B97">
        <w:rPr>
          <w:color w:val="auto"/>
        </w:rPr>
        <w:t>E660</w:t>
      </w:r>
      <w:r>
        <w:rPr>
          <w:color w:val="auto"/>
        </w:rPr>
        <w:t xml:space="preserve"> – </w:t>
      </w:r>
      <w:r w:rsidRPr="006E1B97">
        <w:rPr>
          <w:color w:val="auto"/>
        </w:rPr>
        <w:t>Obesidade devida a excesso de calorias</w:t>
      </w:r>
      <w:r>
        <w:rPr>
          <w:color w:val="auto"/>
        </w:rPr>
        <w:t>;</w:t>
      </w:r>
    </w:p>
    <w:p w14:paraId="3C8CFE98" w14:textId="0F67F036" w:rsidR="006E1B97" w:rsidRPr="006E1B97" w:rsidRDefault="006E1B97" w:rsidP="006E1B97">
      <w:pPr>
        <w:pStyle w:val="PargrafodaLista"/>
        <w:numPr>
          <w:ilvl w:val="0"/>
          <w:numId w:val="3"/>
        </w:numPr>
        <w:rPr>
          <w:color w:val="auto"/>
        </w:rPr>
      </w:pPr>
      <w:r w:rsidRPr="006E1B97">
        <w:rPr>
          <w:color w:val="auto"/>
        </w:rPr>
        <w:t>E661</w:t>
      </w:r>
      <w:r>
        <w:rPr>
          <w:color w:val="auto"/>
        </w:rPr>
        <w:t xml:space="preserve"> – </w:t>
      </w:r>
      <w:r w:rsidRPr="006E1B97">
        <w:rPr>
          <w:color w:val="auto"/>
        </w:rPr>
        <w:t>Obesidade induzida por drogas</w:t>
      </w:r>
      <w:r>
        <w:rPr>
          <w:color w:val="auto"/>
        </w:rPr>
        <w:t>;</w:t>
      </w:r>
    </w:p>
    <w:p w14:paraId="080FDFCB" w14:textId="34EC0D04" w:rsidR="006E1B97" w:rsidRPr="006E1B97" w:rsidRDefault="006E1B97" w:rsidP="006E1B97">
      <w:pPr>
        <w:pStyle w:val="PargrafodaLista"/>
        <w:numPr>
          <w:ilvl w:val="0"/>
          <w:numId w:val="3"/>
        </w:numPr>
        <w:rPr>
          <w:color w:val="auto"/>
        </w:rPr>
      </w:pPr>
      <w:r w:rsidRPr="006E1B97">
        <w:rPr>
          <w:color w:val="auto"/>
        </w:rPr>
        <w:t>E662</w:t>
      </w:r>
      <w:r>
        <w:rPr>
          <w:color w:val="auto"/>
        </w:rPr>
        <w:t xml:space="preserve"> – </w:t>
      </w:r>
      <w:r w:rsidRPr="006E1B97">
        <w:rPr>
          <w:color w:val="auto"/>
        </w:rPr>
        <w:t xml:space="preserve">Obesidade extrema com </w:t>
      </w:r>
      <w:proofErr w:type="spellStart"/>
      <w:r w:rsidRPr="006E1B97">
        <w:rPr>
          <w:color w:val="auto"/>
        </w:rPr>
        <w:t>hipoventilação</w:t>
      </w:r>
      <w:proofErr w:type="spellEnd"/>
      <w:r w:rsidRPr="006E1B97">
        <w:rPr>
          <w:color w:val="auto"/>
        </w:rPr>
        <w:t xml:space="preserve"> alveolar</w:t>
      </w:r>
      <w:r>
        <w:rPr>
          <w:color w:val="auto"/>
        </w:rPr>
        <w:t>;</w:t>
      </w:r>
    </w:p>
    <w:p w14:paraId="640928AA" w14:textId="5C63CB4D" w:rsidR="006E1B97" w:rsidRPr="006E1B97" w:rsidRDefault="006E1B97" w:rsidP="006E1B97">
      <w:pPr>
        <w:pStyle w:val="PargrafodaLista"/>
        <w:numPr>
          <w:ilvl w:val="0"/>
          <w:numId w:val="3"/>
        </w:numPr>
        <w:rPr>
          <w:color w:val="auto"/>
        </w:rPr>
      </w:pPr>
      <w:r w:rsidRPr="006E1B97">
        <w:rPr>
          <w:color w:val="auto"/>
        </w:rPr>
        <w:t>E668</w:t>
      </w:r>
      <w:r>
        <w:rPr>
          <w:color w:val="auto"/>
        </w:rPr>
        <w:t xml:space="preserve"> – </w:t>
      </w:r>
      <w:r w:rsidRPr="006E1B97">
        <w:rPr>
          <w:color w:val="auto"/>
        </w:rPr>
        <w:t>Outra obesidade</w:t>
      </w:r>
      <w:r>
        <w:rPr>
          <w:color w:val="auto"/>
        </w:rPr>
        <w:t>;</w:t>
      </w:r>
    </w:p>
    <w:p w14:paraId="56B8C779" w14:textId="6244D3F5" w:rsidR="004F1681" w:rsidRPr="00623284" w:rsidRDefault="006E1B97" w:rsidP="00623284">
      <w:pPr>
        <w:pStyle w:val="PargrafodaLista"/>
        <w:numPr>
          <w:ilvl w:val="0"/>
          <w:numId w:val="3"/>
        </w:numPr>
        <w:rPr>
          <w:color w:val="auto"/>
        </w:rPr>
      </w:pPr>
      <w:r w:rsidRPr="006E1B97">
        <w:rPr>
          <w:color w:val="auto"/>
        </w:rPr>
        <w:t>E669</w:t>
      </w:r>
      <w:r>
        <w:rPr>
          <w:color w:val="auto"/>
        </w:rPr>
        <w:t xml:space="preserve"> – </w:t>
      </w:r>
      <w:r w:rsidRPr="006E1B97">
        <w:rPr>
          <w:color w:val="auto"/>
        </w:rPr>
        <w:t>Obesidade não especificada</w:t>
      </w:r>
      <w:r>
        <w:rPr>
          <w:color w:val="auto"/>
        </w:rPr>
        <w:t>.</w:t>
      </w:r>
    </w:p>
    <w:p w14:paraId="09C96299" w14:textId="77777777" w:rsidR="004F1681" w:rsidRPr="00AC3E59" w:rsidRDefault="00DB0951" w:rsidP="00623284">
      <w:pPr>
        <w:pStyle w:val="Ttulo1"/>
      </w:pPr>
      <w:r w:rsidRPr="00AC3E59">
        <w:lastRenderedPageBreak/>
        <w:t>3 DIAGNÓSTICO</w:t>
      </w:r>
    </w:p>
    <w:p w14:paraId="48D01A6A" w14:textId="6C67E53E" w:rsidR="009C03E9" w:rsidRDefault="009C03E9" w:rsidP="009C03E9">
      <w:pPr>
        <w:tabs>
          <w:tab w:val="left" w:pos="686"/>
          <w:tab w:val="left" w:pos="718"/>
        </w:tabs>
        <w:ind w:firstLine="720"/>
        <w:rPr>
          <w:rFonts w:cs="Times New Roman"/>
        </w:rPr>
      </w:pPr>
      <w:r>
        <w:rPr>
          <w:rFonts w:cs="Times New Roman"/>
        </w:rPr>
        <w:t xml:space="preserve">O </w:t>
      </w:r>
      <w:r w:rsidRPr="009C03E9">
        <w:rPr>
          <w:rFonts w:cs="Times New Roman"/>
        </w:rPr>
        <w:t>IMC é uma medida indireta de gordura corporal usada para definir a obesidade.</w:t>
      </w:r>
      <w:r>
        <w:rPr>
          <w:rFonts w:cs="Times New Roman"/>
        </w:rPr>
        <w:t xml:space="preserve"> A f</w:t>
      </w:r>
      <w:r w:rsidRPr="00E55DDB">
        <w:rPr>
          <w:rFonts w:cs="Times New Roman"/>
        </w:rPr>
        <w:t>órmula para o cálculo do IMC</w:t>
      </w:r>
      <w:r>
        <w:rPr>
          <w:rFonts w:cs="Times New Roman"/>
        </w:rPr>
        <w:t xml:space="preserve"> é</w:t>
      </w:r>
      <w:r w:rsidRPr="00E55DDB">
        <w:rPr>
          <w:rFonts w:cs="Times New Roman"/>
        </w:rPr>
        <w:t xml:space="preserve">: Peso dividido pela Altura ao quadrado </w:t>
      </w:r>
      <w:r>
        <w:rPr>
          <w:rFonts w:cs="Times New Roman"/>
        </w:rPr>
        <w:t xml:space="preserve">— </w:t>
      </w:r>
      <w:r w:rsidRPr="00E55DDB">
        <w:rPr>
          <w:rFonts w:cs="Times New Roman"/>
        </w:rPr>
        <w:t xml:space="preserve">Peso em kg ÷ </w:t>
      </w:r>
      <w:r>
        <w:rPr>
          <w:rFonts w:cs="Times New Roman"/>
        </w:rPr>
        <w:t>(</w:t>
      </w:r>
      <w:r w:rsidRPr="00E55DDB">
        <w:rPr>
          <w:rFonts w:cs="Times New Roman"/>
        </w:rPr>
        <w:t>altura</w:t>
      </w:r>
      <w:r>
        <w:rPr>
          <w:rFonts w:cs="Times New Roman"/>
        </w:rPr>
        <w:t xml:space="preserve"> em metros</w:t>
      </w:r>
      <w:r w:rsidRPr="00E55DDB">
        <w:rPr>
          <w:rFonts w:cs="Times New Roman"/>
        </w:rPr>
        <w:t xml:space="preserve"> x altura em metros) = Kg/m</w:t>
      </w:r>
      <w:r w:rsidRPr="00E55DDB">
        <w:rPr>
          <w:rFonts w:cs="Times New Roman"/>
          <w:vertAlign w:val="superscript"/>
        </w:rPr>
        <w:t>2</w:t>
      </w:r>
      <w:r w:rsidRPr="00E55DDB">
        <w:rPr>
          <w:rFonts w:cs="Times New Roman"/>
        </w:rPr>
        <w:t xml:space="preserve"> </w:t>
      </w:r>
      <w:r w:rsidRPr="009C03E9">
        <w:rPr>
          <w:rFonts w:cs="Times New Roman"/>
        </w:rPr>
        <w:t>(KOHUT; ROBBINS; PANGANIBAN, 2019).</w:t>
      </w:r>
    </w:p>
    <w:p w14:paraId="6AB36ADB" w14:textId="14803CEA" w:rsidR="009C03E9" w:rsidRPr="009C03E9" w:rsidRDefault="009C03E9" w:rsidP="009C03E9">
      <w:pPr>
        <w:tabs>
          <w:tab w:val="left" w:pos="686"/>
          <w:tab w:val="left" w:pos="718"/>
        </w:tabs>
        <w:ind w:firstLine="720"/>
        <w:rPr>
          <w:rFonts w:cs="Times New Roman"/>
        </w:rPr>
      </w:pPr>
      <w:r w:rsidRPr="009C03E9">
        <w:rPr>
          <w:rFonts w:cs="Times New Roman"/>
        </w:rPr>
        <w:t xml:space="preserve">Em crianças com mais de 2 anos de idade, os percentis de IMC (que utilizam informações de idade e sexo) são anotados. </w:t>
      </w:r>
      <w:r>
        <w:rPr>
          <w:rFonts w:cs="Times New Roman"/>
        </w:rPr>
        <w:t>O</w:t>
      </w:r>
      <w:r w:rsidRPr="009C03E9">
        <w:rPr>
          <w:rFonts w:cs="Times New Roman"/>
        </w:rPr>
        <w:t xml:space="preserve">s dados normativos </w:t>
      </w:r>
      <w:r>
        <w:rPr>
          <w:rFonts w:cs="Times New Roman"/>
        </w:rPr>
        <w:t>do CDC (</w:t>
      </w:r>
      <w:r w:rsidRPr="00F260A0">
        <w:rPr>
          <w:rFonts w:cs="Times New Roman"/>
          <w:i/>
          <w:iCs/>
          <w:lang w:val="en-US"/>
        </w:rPr>
        <w:t>Centers for Disease Control and Prevention</w:t>
      </w:r>
      <w:r>
        <w:rPr>
          <w:rFonts w:cs="Times New Roman"/>
        </w:rPr>
        <w:t xml:space="preserve">, dos Estados Unidos da América) </w:t>
      </w:r>
      <w:r w:rsidRPr="009C03E9">
        <w:rPr>
          <w:rFonts w:cs="Times New Roman"/>
        </w:rPr>
        <w:t>devem ser usados para a classificação do peso da criança como segue (KOHUT; ROBBINS; PANGANIBAN, 2019):</w:t>
      </w:r>
    </w:p>
    <w:p w14:paraId="0017345F" w14:textId="378A0D1C" w:rsidR="009C03E9" w:rsidRPr="009C03E9" w:rsidRDefault="009C03E9" w:rsidP="009C03E9">
      <w:pPr>
        <w:pStyle w:val="PargrafodaLista"/>
        <w:numPr>
          <w:ilvl w:val="0"/>
          <w:numId w:val="26"/>
        </w:numPr>
        <w:tabs>
          <w:tab w:val="left" w:pos="686"/>
          <w:tab w:val="left" w:pos="718"/>
        </w:tabs>
        <w:ind w:left="0" w:firstLine="0"/>
        <w:rPr>
          <w:rFonts w:cs="Times New Roman"/>
        </w:rPr>
      </w:pPr>
      <w:r w:rsidRPr="009C03E9">
        <w:rPr>
          <w:rFonts w:cs="Times New Roman"/>
        </w:rPr>
        <w:t>Peso normal: IMC entre percentil 5</w:t>
      </w:r>
      <w:r w:rsidR="00F260A0">
        <w:rPr>
          <w:rFonts w:cs="Times New Roman"/>
        </w:rPr>
        <w:t>º</w:t>
      </w:r>
      <w:r w:rsidRPr="009C03E9">
        <w:rPr>
          <w:rFonts w:cs="Times New Roman"/>
        </w:rPr>
        <w:t xml:space="preserve"> e 85</w:t>
      </w:r>
      <w:r w:rsidR="00F260A0">
        <w:rPr>
          <w:rFonts w:cs="Times New Roman"/>
        </w:rPr>
        <w:t>º</w:t>
      </w:r>
      <w:r w:rsidRPr="009C03E9">
        <w:rPr>
          <w:rFonts w:cs="Times New Roman"/>
        </w:rPr>
        <w:t>.</w:t>
      </w:r>
    </w:p>
    <w:p w14:paraId="7306014B" w14:textId="30FB61A9" w:rsidR="009C03E9" w:rsidRDefault="00E345AE" w:rsidP="009C03E9">
      <w:pPr>
        <w:pStyle w:val="PargrafodaLista"/>
        <w:numPr>
          <w:ilvl w:val="0"/>
          <w:numId w:val="26"/>
        </w:numPr>
        <w:tabs>
          <w:tab w:val="left" w:pos="686"/>
          <w:tab w:val="left" w:pos="718"/>
        </w:tabs>
        <w:ind w:left="0" w:firstLine="0"/>
        <w:rPr>
          <w:rFonts w:cs="Times New Roman"/>
        </w:rPr>
      </w:pPr>
      <w:r>
        <w:rPr>
          <w:rFonts w:cs="Times New Roman"/>
        </w:rPr>
        <w:t>S</w:t>
      </w:r>
      <w:r w:rsidR="009C03E9">
        <w:rPr>
          <w:rFonts w:cs="Times New Roman"/>
        </w:rPr>
        <w:t xml:space="preserve">obrepeso </w:t>
      </w:r>
      <w:r>
        <w:rPr>
          <w:rFonts w:cs="Times New Roman"/>
        </w:rPr>
        <w:t>(</w:t>
      </w:r>
      <w:proofErr w:type="spellStart"/>
      <w:r w:rsidR="009C03E9">
        <w:rPr>
          <w:rFonts w:cs="Times New Roman"/>
        </w:rPr>
        <w:t>pré</w:t>
      </w:r>
      <w:proofErr w:type="spellEnd"/>
      <w:r w:rsidR="009C03E9">
        <w:rPr>
          <w:rFonts w:cs="Times New Roman"/>
        </w:rPr>
        <w:t>-obesidade)</w:t>
      </w:r>
      <w:r w:rsidR="009C03E9" w:rsidRPr="009C03E9">
        <w:rPr>
          <w:rFonts w:cs="Times New Roman"/>
        </w:rPr>
        <w:t>: IMC entre percenti</w:t>
      </w:r>
      <w:r w:rsidR="00A24122">
        <w:rPr>
          <w:rFonts w:cs="Times New Roman"/>
        </w:rPr>
        <w:t>s</w:t>
      </w:r>
      <w:r w:rsidR="009C03E9" w:rsidRPr="009C03E9">
        <w:rPr>
          <w:rFonts w:cs="Times New Roman"/>
        </w:rPr>
        <w:t xml:space="preserve"> 85</w:t>
      </w:r>
      <w:r w:rsidR="00A24122">
        <w:rPr>
          <w:rFonts w:cs="Times New Roman"/>
        </w:rPr>
        <w:t>º</w:t>
      </w:r>
      <w:r w:rsidR="009C03E9" w:rsidRPr="009C03E9">
        <w:rPr>
          <w:rFonts w:cs="Times New Roman"/>
        </w:rPr>
        <w:t xml:space="preserve"> e 95</w:t>
      </w:r>
      <w:r w:rsidR="00A24122">
        <w:rPr>
          <w:rFonts w:cs="Times New Roman"/>
        </w:rPr>
        <w:t>º;</w:t>
      </w:r>
      <w:r w:rsidR="0077540D">
        <w:rPr>
          <w:rFonts w:cs="Times New Roman"/>
        </w:rPr>
        <w:t xml:space="preserve"> ou IMC </w:t>
      </w:r>
      <w:r w:rsidR="00A24122">
        <w:rPr>
          <w:rFonts w:cs="Times New Roman"/>
        </w:rPr>
        <w:t>&gt;</w:t>
      </w:r>
      <w:r w:rsidR="0077540D">
        <w:rPr>
          <w:rFonts w:cs="Times New Roman"/>
        </w:rPr>
        <w:t xml:space="preserve">25 </w:t>
      </w:r>
      <w:r w:rsidR="0077540D" w:rsidRPr="009C03E9">
        <w:rPr>
          <w:rFonts w:cs="Times New Roman"/>
        </w:rPr>
        <w:t>kg/m</w:t>
      </w:r>
      <w:r w:rsidR="0077540D" w:rsidRPr="0077540D">
        <w:rPr>
          <w:rFonts w:cs="Times New Roman"/>
          <w:vertAlign w:val="superscript"/>
        </w:rPr>
        <w:t>2</w:t>
      </w:r>
      <w:r w:rsidR="009C03E9" w:rsidRPr="009C03E9">
        <w:rPr>
          <w:rFonts w:cs="Times New Roman"/>
        </w:rPr>
        <w:t xml:space="preserve"> </w:t>
      </w:r>
      <w:r w:rsidR="0077540D">
        <w:rPr>
          <w:rFonts w:cs="Times New Roman"/>
        </w:rPr>
        <w:t xml:space="preserve">e </w:t>
      </w:r>
      <w:r w:rsidR="00A24122">
        <w:rPr>
          <w:rFonts w:cs="Times New Roman"/>
        </w:rPr>
        <w:t>&lt;</w:t>
      </w:r>
      <w:r w:rsidR="0077540D" w:rsidRPr="009C03E9">
        <w:rPr>
          <w:rFonts w:cs="Times New Roman"/>
        </w:rPr>
        <w:t>3</w:t>
      </w:r>
      <w:r>
        <w:rPr>
          <w:rFonts w:cs="Times New Roman"/>
        </w:rPr>
        <w:t>0</w:t>
      </w:r>
      <w:r w:rsidR="0077540D" w:rsidRPr="009C03E9">
        <w:rPr>
          <w:rFonts w:cs="Times New Roman"/>
        </w:rPr>
        <w:t xml:space="preserve"> kg/m</w:t>
      </w:r>
      <w:r w:rsidR="0077540D" w:rsidRPr="0077540D">
        <w:rPr>
          <w:rFonts w:cs="Times New Roman"/>
          <w:vertAlign w:val="superscript"/>
        </w:rPr>
        <w:t>2</w:t>
      </w:r>
      <w:r w:rsidR="009C03E9" w:rsidRPr="009C03E9">
        <w:rPr>
          <w:rFonts w:cs="Times New Roman"/>
        </w:rPr>
        <w:t>.</w:t>
      </w:r>
    </w:p>
    <w:p w14:paraId="6B1CB553" w14:textId="0CE09A02" w:rsidR="009C03E9" w:rsidRDefault="009C03E9" w:rsidP="009C03E9">
      <w:pPr>
        <w:pStyle w:val="PargrafodaLista"/>
        <w:numPr>
          <w:ilvl w:val="0"/>
          <w:numId w:val="26"/>
        </w:numPr>
        <w:tabs>
          <w:tab w:val="left" w:pos="686"/>
          <w:tab w:val="left" w:pos="718"/>
        </w:tabs>
        <w:ind w:left="0" w:firstLine="0"/>
        <w:rPr>
          <w:rFonts w:cs="Times New Roman"/>
        </w:rPr>
      </w:pPr>
      <w:r w:rsidRPr="009C03E9">
        <w:rPr>
          <w:rFonts w:cs="Times New Roman"/>
        </w:rPr>
        <w:t>Obesidade Classe I</w:t>
      </w:r>
      <w:r>
        <w:rPr>
          <w:rFonts w:cs="Times New Roman"/>
        </w:rPr>
        <w:t xml:space="preserve"> (grau I)</w:t>
      </w:r>
      <w:r w:rsidRPr="009C03E9">
        <w:rPr>
          <w:rFonts w:cs="Times New Roman"/>
        </w:rPr>
        <w:t xml:space="preserve">: IMC </w:t>
      </w:r>
      <w:r w:rsidR="00BA33C1">
        <w:rPr>
          <w:rFonts w:cs="Times New Roman"/>
        </w:rPr>
        <w:t>≥ percentil</w:t>
      </w:r>
      <w:r w:rsidRPr="009C03E9">
        <w:rPr>
          <w:rFonts w:cs="Times New Roman"/>
        </w:rPr>
        <w:t xml:space="preserve"> 95</w:t>
      </w:r>
      <w:r w:rsidR="00A24122">
        <w:rPr>
          <w:rFonts w:cs="Times New Roman"/>
        </w:rPr>
        <w:t>º</w:t>
      </w:r>
      <w:r w:rsidR="00BA33C1">
        <w:rPr>
          <w:rFonts w:cs="Times New Roman"/>
        </w:rPr>
        <w:t xml:space="preserve"> e</w:t>
      </w:r>
      <w:r w:rsidRPr="009C03E9">
        <w:rPr>
          <w:rFonts w:cs="Times New Roman"/>
        </w:rPr>
        <w:t xml:space="preserve"> inferior a 120% do percentil 95</w:t>
      </w:r>
      <w:r w:rsidR="00A24122">
        <w:rPr>
          <w:rFonts w:cs="Times New Roman"/>
        </w:rPr>
        <w:t>º</w:t>
      </w:r>
      <w:r w:rsidR="00BA33C1">
        <w:rPr>
          <w:rFonts w:cs="Times New Roman"/>
        </w:rPr>
        <w:t>;</w:t>
      </w:r>
      <w:r w:rsidRPr="009C03E9">
        <w:rPr>
          <w:rFonts w:cs="Times New Roman"/>
        </w:rPr>
        <w:t xml:space="preserve"> ou IMC</w:t>
      </w:r>
      <w:r w:rsidR="00A24122">
        <w:rPr>
          <w:rFonts w:cs="Times New Roman"/>
        </w:rPr>
        <w:t xml:space="preserve"> ≥</w:t>
      </w:r>
      <w:r w:rsidR="00A24122" w:rsidRPr="009C03E9">
        <w:rPr>
          <w:rFonts w:cs="Times New Roman"/>
        </w:rPr>
        <w:t>3</w:t>
      </w:r>
      <w:r w:rsidR="00A24122">
        <w:rPr>
          <w:rFonts w:cs="Times New Roman"/>
        </w:rPr>
        <w:t>0</w:t>
      </w:r>
      <w:r w:rsidR="00A24122" w:rsidRPr="009C03E9">
        <w:rPr>
          <w:rFonts w:cs="Times New Roman"/>
        </w:rPr>
        <w:t xml:space="preserve"> kg/m</w:t>
      </w:r>
      <w:r w:rsidR="00A24122" w:rsidRPr="0077540D">
        <w:rPr>
          <w:rFonts w:cs="Times New Roman"/>
          <w:vertAlign w:val="superscript"/>
        </w:rPr>
        <w:t>2</w:t>
      </w:r>
      <w:r w:rsidRPr="009C03E9">
        <w:rPr>
          <w:rFonts w:cs="Times New Roman"/>
        </w:rPr>
        <w:t xml:space="preserve"> </w:t>
      </w:r>
      <w:r w:rsidR="00A24122">
        <w:rPr>
          <w:rFonts w:cs="Times New Roman"/>
        </w:rPr>
        <w:t>e &lt;</w:t>
      </w:r>
      <w:r w:rsidRPr="009C03E9">
        <w:rPr>
          <w:rFonts w:cs="Times New Roman"/>
        </w:rPr>
        <w:t>35 kg/m</w:t>
      </w:r>
      <w:r w:rsidRPr="0077540D">
        <w:rPr>
          <w:rFonts w:cs="Times New Roman"/>
          <w:vertAlign w:val="superscript"/>
        </w:rPr>
        <w:t>2</w:t>
      </w:r>
      <w:r w:rsidR="00BA33C1">
        <w:rPr>
          <w:rFonts w:cs="Times New Roman"/>
        </w:rPr>
        <w:t>;</w:t>
      </w:r>
      <w:r w:rsidR="0077540D">
        <w:rPr>
          <w:rFonts w:cs="Times New Roman"/>
        </w:rPr>
        <w:t xml:space="preserve"> </w:t>
      </w:r>
      <w:r w:rsidRPr="009C03E9">
        <w:rPr>
          <w:rFonts w:cs="Times New Roman"/>
        </w:rPr>
        <w:t>o que for menor.</w:t>
      </w:r>
    </w:p>
    <w:p w14:paraId="44726B4F" w14:textId="5916DF0A" w:rsidR="009C03E9" w:rsidRDefault="009C03E9" w:rsidP="009C03E9">
      <w:pPr>
        <w:pStyle w:val="PargrafodaLista"/>
        <w:numPr>
          <w:ilvl w:val="0"/>
          <w:numId w:val="26"/>
        </w:numPr>
        <w:tabs>
          <w:tab w:val="left" w:pos="686"/>
          <w:tab w:val="left" w:pos="718"/>
        </w:tabs>
        <w:ind w:left="0" w:firstLine="0"/>
        <w:rPr>
          <w:rFonts w:cs="Times New Roman"/>
        </w:rPr>
      </w:pPr>
      <w:r w:rsidRPr="009C03E9">
        <w:rPr>
          <w:rFonts w:cs="Times New Roman"/>
        </w:rPr>
        <w:t>Obesidade grave inclui obesidade classes II e III</w:t>
      </w:r>
      <w:r w:rsidR="00EC0476">
        <w:rPr>
          <w:rFonts w:cs="Times New Roman"/>
        </w:rPr>
        <w:t>:</w:t>
      </w:r>
    </w:p>
    <w:p w14:paraId="1AB3E04A" w14:textId="156F1441" w:rsidR="009C03E9" w:rsidRDefault="009C03E9" w:rsidP="009C03E9">
      <w:pPr>
        <w:pStyle w:val="PargrafodaLista"/>
        <w:numPr>
          <w:ilvl w:val="1"/>
          <w:numId w:val="26"/>
        </w:numPr>
        <w:tabs>
          <w:tab w:val="left" w:pos="686"/>
          <w:tab w:val="left" w:pos="718"/>
        </w:tabs>
        <w:ind w:left="709"/>
        <w:rPr>
          <w:rFonts w:cs="Times New Roman"/>
        </w:rPr>
      </w:pPr>
      <w:r w:rsidRPr="009C03E9">
        <w:rPr>
          <w:rFonts w:cs="Times New Roman"/>
        </w:rPr>
        <w:t>Obesidade classe II</w:t>
      </w:r>
      <w:r>
        <w:rPr>
          <w:rFonts w:cs="Times New Roman"/>
        </w:rPr>
        <w:t xml:space="preserve"> (grau II)</w:t>
      </w:r>
      <w:r w:rsidRPr="009C03E9">
        <w:rPr>
          <w:rFonts w:cs="Times New Roman"/>
        </w:rPr>
        <w:t xml:space="preserve">: IMC </w:t>
      </w:r>
      <w:r w:rsidR="00A24122">
        <w:rPr>
          <w:rFonts w:cs="Times New Roman"/>
        </w:rPr>
        <w:t>≥</w:t>
      </w:r>
      <w:r w:rsidRPr="009C03E9">
        <w:rPr>
          <w:rFonts w:cs="Times New Roman"/>
        </w:rPr>
        <w:t>120% do percentil 95</w:t>
      </w:r>
      <w:r w:rsidR="005C2999">
        <w:rPr>
          <w:rFonts w:cs="Times New Roman"/>
        </w:rPr>
        <w:t>º</w:t>
      </w:r>
      <w:r w:rsidR="00A24122">
        <w:rPr>
          <w:rFonts w:cs="Times New Roman"/>
        </w:rPr>
        <w:t xml:space="preserve"> e &lt;</w:t>
      </w:r>
      <w:r w:rsidR="00A24122" w:rsidRPr="009C03E9">
        <w:rPr>
          <w:rFonts w:cs="Times New Roman"/>
        </w:rPr>
        <w:t>140% do percentil 95</w:t>
      </w:r>
      <w:r w:rsidR="00A24122">
        <w:rPr>
          <w:rFonts w:cs="Times New Roman"/>
        </w:rPr>
        <w:t>º;</w:t>
      </w:r>
      <w:r w:rsidR="00A24122" w:rsidRPr="009C03E9">
        <w:rPr>
          <w:rFonts w:cs="Times New Roman"/>
        </w:rPr>
        <w:t xml:space="preserve"> </w:t>
      </w:r>
      <w:r w:rsidRPr="009C03E9">
        <w:rPr>
          <w:rFonts w:cs="Times New Roman"/>
        </w:rPr>
        <w:t>ou IMC</w:t>
      </w:r>
      <w:r w:rsidR="00A24122">
        <w:rPr>
          <w:rFonts w:cs="Times New Roman"/>
        </w:rPr>
        <w:t>≥</w:t>
      </w:r>
      <w:r w:rsidRPr="009C03E9">
        <w:rPr>
          <w:rFonts w:cs="Times New Roman"/>
        </w:rPr>
        <w:t>35 kg/m</w:t>
      </w:r>
      <w:r w:rsidRPr="0077540D">
        <w:rPr>
          <w:rFonts w:cs="Times New Roman"/>
          <w:vertAlign w:val="superscript"/>
        </w:rPr>
        <w:t>2</w:t>
      </w:r>
      <w:r w:rsidR="00A24122">
        <w:rPr>
          <w:rFonts w:cs="Times New Roman"/>
        </w:rPr>
        <w:t xml:space="preserve"> e &lt;40 </w:t>
      </w:r>
      <w:r w:rsidR="00A24122" w:rsidRPr="009C03E9">
        <w:rPr>
          <w:rFonts w:cs="Times New Roman"/>
        </w:rPr>
        <w:t>kg/m</w:t>
      </w:r>
      <w:r w:rsidR="00A24122" w:rsidRPr="0077540D">
        <w:rPr>
          <w:rFonts w:cs="Times New Roman"/>
          <w:vertAlign w:val="superscript"/>
        </w:rPr>
        <w:t>2</w:t>
      </w:r>
      <w:r w:rsidR="00A24122">
        <w:rPr>
          <w:rFonts w:cs="Times New Roman"/>
        </w:rPr>
        <w:t xml:space="preserve">; </w:t>
      </w:r>
      <w:r w:rsidRPr="009C03E9">
        <w:rPr>
          <w:rFonts w:cs="Times New Roman"/>
        </w:rPr>
        <w:t>o que for menor.</w:t>
      </w:r>
    </w:p>
    <w:p w14:paraId="08481D16" w14:textId="4A1934BC" w:rsidR="009C03E9" w:rsidRPr="009C03E9" w:rsidRDefault="009C03E9" w:rsidP="009C03E9">
      <w:pPr>
        <w:pStyle w:val="PargrafodaLista"/>
        <w:numPr>
          <w:ilvl w:val="1"/>
          <w:numId w:val="26"/>
        </w:numPr>
        <w:tabs>
          <w:tab w:val="left" w:pos="686"/>
          <w:tab w:val="left" w:pos="718"/>
        </w:tabs>
        <w:ind w:left="709"/>
        <w:rPr>
          <w:rFonts w:cs="Times New Roman"/>
        </w:rPr>
      </w:pPr>
      <w:r w:rsidRPr="009C03E9">
        <w:rPr>
          <w:rFonts w:cs="Times New Roman"/>
        </w:rPr>
        <w:t>Obesidade classe III</w:t>
      </w:r>
      <w:r>
        <w:rPr>
          <w:rFonts w:cs="Times New Roman"/>
        </w:rPr>
        <w:t xml:space="preserve"> (grau III)</w:t>
      </w:r>
      <w:r w:rsidRPr="009C03E9">
        <w:rPr>
          <w:rFonts w:cs="Times New Roman"/>
        </w:rPr>
        <w:t xml:space="preserve">: IMC </w:t>
      </w:r>
      <w:r w:rsidR="00A24122">
        <w:rPr>
          <w:rFonts w:cs="Times New Roman"/>
        </w:rPr>
        <w:t>≥</w:t>
      </w:r>
      <w:r w:rsidRPr="009C03E9">
        <w:rPr>
          <w:rFonts w:cs="Times New Roman"/>
        </w:rPr>
        <w:t>140% do percentil 95</w:t>
      </w:r>
      <w:r w:rsidR="00F260A0">
        <w:rPr>
          <w:rFonts w:cs="Times New Roman"/>
        </w:rPr>
        <w:t>º</w:t>
      </w:r>
      <w:r w:rsidRPr="009C03E9">
        <w:rPr>
          <w:rFonts w:cs="Times New Roman"/>
        </w:rPr>
        <w:t xml:space="preserve"> ou um IMC</w:t>
      </w:r>
      <w:r w:rsidR="00A24122">
        <w:rPr>
          <w:rFonts w:cs="Times New Roman"/>
        </w:rPr>
        <w:t xml:space="preserve"> ≥</w:t>
      </w:r>
      <w:r w:rsidRPr="009C03E9">
        <w:rPr>
          <w:rFonts w:cs="Times New Roman"/>
        </w:rPr>
        <w:t>40</w:t>
      </w:r>
      <w:r w:rsidR="0077540D">
        <w:rPr>
          <w:rFonts w:cs="Times New Roman"/>
        </w:rPr>
        <w:t xml:space="preserve"> </w:t>
      </w:r>
      <w:r w:rsidR="0077540D" w:rsidRPr="009C03E9">
        <w:rPr>
          <w:rFonts w:cs="Times New Roman"/>
        </w:rPr>
        <w:t>kg/m</w:t>
      </w:r>
      <w:r w:rsidR="0077540D" w:rsidRPr="0077540D">
        <w:rPr>
          <w:rFonts w:cs="Times New Roman"/>
          <w:vertAlign w:val="superscript"/>
        </w:rPr>
        <w:t>2</w:t>
      </w:r>
      <w:r w:rsidRPr="009C03E9">
        <w:rPr>
          <w:rFonts w:cs="Times New Roman"/>
        </w:rPr>
        <w:t>, o que for menor.</w:t>
      </w:r>
    </w:p>
    <w:p w14:paraId="07FE174F" w14:textId="7CBB5625" w:rsidR="006D7780" w:rsidRDefault="009C03E9" w:rsidP="009C03E9">
      <w:pPr>
        <w:tabs>
          <w:tab w:val="left" w:pos="686"/>
          <w:tab w:val="left" w:pos="718"/>
        </w:tabs>
        <w:ind w:firstLine="720"/>
        <w:rPr>
          <w:rFonts w:cs="Times New Roman"/>
        </w:rPr>
      </w:pPr>
      <w:r w:rsidRPr="009C03E9">
        <w:rPr>
          <w:rFonts w:cs="Times New Roman"/>
        </w:rPr>
        <w:t>Para crianças e adolescentes com IMC acima do percentil 99</w:t>
      </w:r>
      <w:r w:rsidR="00F260A0">
        <w:rPr>
          <w:rFonts w:cs="Times New Roman"/>
        </w:rPr>
        <w:t>º</w:t>
      </w:r>
      <w:r w:rsidRPr="009C03E9">
        <w:rPr>
          <w:rFonts w:cs="Times New Roman"/>
        </w:rPr>
        <w:t>, curvas especiais de crescimento de obesidade do CDC devem ser usadas para rastrear o status do peso ao longo do tempo</w:t>
      </w:r>
      <w:r w:rsidR="006D7780">
        <w:rPr>
          <w:rFonts w:cs="Times New Roman"/>
        </w:rPr>
        <w:t xml:space="preserve"> </w:t>
      </w:r>
      <w:r w:rsidR="006D7780" w:rsidRPr="009C03E9">
        <w:rPr>
          <w:rFonts w:cs="Times New Roman"/>
        </w:rPr>
        <w:t>(KOHUT; ROBBINS; PANGANIBAN, 2019)</w:t>
      </w:r>
      <w:r w:rsidR="006D7780">
        <w:rPr>
          <w:rFonts w:cs="Times New Roman"/>
        </w:rPr>
        <w:t>.</w:t>
      </w:r>
    </w:p>
    <w:p w14:paraId="61DF988F" w14:textId="77777777" w:rsidR="00E55DDB" w:rsidRPr="00E55DDB" w:rsidRDefault="00E55DDB" w:rsidP="00E55DDB">
      <w:pPr>
        <w:tabs>
          <w:tab w:val="left" w:pos="686"/>
          <w:tab w:val="left" w:pos="718"/>
        </w:tabs>
        <w:ind w:firstLine="720"/>
        <w:rPr>
          <w:rFonts w:cs="Times New Roman"/>
        </w:rPr>
      </w:pPr>
    </w:p>
    <w:p w14:paraId="0BCCA094" w14:textId="305D8BC3" w:rsidR="003A2883" w:rsidRDefault="003A2883" w:rsidP="002711B4">
      <w:pPr>
        <w:ind w:left="-11" w:firstLine="0"/>
      </w:pPr>
      <w:r>
        <w:rPr>
          <w:rFonts w:cs="Times New Roman"/>
          <w:b/>
          <w:bCs/>
          <w:color w:val="auto"/>
        </w:rPr>
        <w:t>4 CRITÉRIO</w:t>
      </w:r>
      <w:r w:rsidR="00F2215A">
        <w:rPr>
          <w:rFonts w:cs="Times New Roman"/>
          <w:b/>
          <w:bCs/>
          <w:color w:val="auto"/>
        </w:rPr>
        <w:t>S</w:t>
      </w:r>
      <w:r>
        <w:rPr>
          <w:rFonts w:cs="Times New Roman"/>
          <w:b/>
          <w:bCs/>
          <w:color w:val="auto"/>
        </w:rPr>
        <w:t xml:space="preserve"> DE INCLUSÃO</w:t>
      </w:r>
    </w:p>
    <w:p w14:paraId="1CEEF95A" w14:textId="77777777" w:rsidR="00FD017E" w:rsidRDefault="00FD017E" w:rsidP="002711B4">
      <w:pPr>
        <w:tabs>
          <w:tab w:val="left" w:pos="686"/>
          <w:tab w:val="left" w:pos="718"/>
        </w:tabs>
        <w:ind w:firstLine="720"/>
        <w:rPr>
          <w:rFonts w:cs="Times New Roman"/>
        </w:rPr>
      </w:pPr>
    </w:p>
    <w:p w14:paraId="213EE6E4" w14:textId="5BEABEC9" w:rsidR="002A3C8D" w:rsidRPr="002A3C8D" w:rsidRDefault="00F2215A" w:rsidP="002711B4">
      <w:pPr>
        <w:tabs>
          <w:tab w:val="left" w:pos="686"/>
          <w:tab w:val="left" w:pos="718"/>
        </w:tabs>
        <w:ind w:firstLine="720"/>
        <w:rPr>
          <w:rFonts w:cs="Times New Roman"/>
        </w:rPr>
      </w:pPr>
      <w:r>
        <w:rPr>
          <w:rFonts w:cs="Times New Roman"/>
        </w:rPr>
        <w:t xml:space="preserve">Para </w:t>
      </w:r>
      <w:r w:rsidR="002A3C8D" w:rsidRPr="002A3C8D">
        <w:rPr>
          <w:rFonts w:cs="Times New Roman"/>
        </w:rPr>
        <w:t>incluído</w:t>
      </w:r>
      <w:r>
        <w:rPr>
          <w:rFonts w:cs="Times New Roman"/>
        </w:rPr>
        <w:t>,</w:t>
      </w:r>
      <w:r w:rsidR="002A3C8D" w:rsidRPr="002A3C8D">
        <w:rPr>
          <w:rFonts w:cs="Times New Roman"/>
        </w:rPr>
        <w:t xml:space="preserve"> o paciente </w:t>
      </w:r>
      <w:r>
        <w:rPr>
          <w:rFonts w:cs="Times New Roman"/>
        </w:rPr>
        <w:t>deve</w:t>
      </w:r>
      <w:r w:rsidR="002A3C8D" w:rsidRPr="002A3C8D">
        <w:rPr>
          <w:rFonts w:cs="Times New Roman"/>
        </w:rPr>
        <w:t xml:space="preserve"> preencher todos os critérios a seguir:</w:t>
      </w:r>
    </w:p>
    <w:p w14:paraId="5205DED2" w14:textId="1BFA39F8" w:rsidR="00961F71" w:rsidRDefault="005C6644" w:rsidP="00961F71">
      <w:pPr>
        <w:pStyle w:val="PargrafodaLista"/>
        <w:numPr>
          <w:ilvl w:val="0"/>
          <w:numId w:val="18"/>
        </w:numPr>
        <w:tabs>
          <w:tab w:val="left" w:pos="686"/>
          <w:tab w:val="left" w:pos="718"/>
        </w:tabs>
        <w:ind w:left="0" w:firstLine="0"/>
        <w:rPr>
          <w:rFonts w:cs="Times New Roman"/>
        </w:rPr>
      </w:pPr>
      <w:r>
        <w:rPr>
          <w:rFonts w:cs="Times New Roman"/>
        </w:rPr>
        <w:t>Ser</w:t>
      </w:r>
      <w:r w:rsidR="002A3C8D" w:rsidRPr="002A3C8D">
        <w:rPr>
          <w:rFonts w:cs="Times New Roman"/>
        </w:rPr>
        <w:t xml:space="preserve"> residente e domiciliado no Estado de Goiás;</w:t>
      </w:r>
    </w:p>
    <w:p w14:paraId="7FC041B0" w14:textId="7CB93867" w:rsidR="00961F71" w:rsidRDefault="005C6644" w:rsidP="00961F71">
      <w:pPr>
        <w:pStyle w:val="PargrafodaLista"/>
        <w:numPr>
          <w:ilvl w:val="0"/>
          <w:numId w:val="18"/>
        </w:numPr>
        <w:tabs>
          <w:tab w:val="left" w:pos="686"/>
          <w:tab w:val="left" w:pos="718"/>
        </w:tabs>
        <w:ind w:left="0" w:firstLine="0"/>
        <w:rPr>
          <w:rFonts w:cs="Times New Roman"/>
        </w:rPr>
      </w:pPr>
      <w:r>
        <w:rPr>
          <w:rFonts w:cs="Times New Roman"/>
        </w:rPr>
        <w:t>Ter i</w:t>
      </w:r>
      <w:r w:rsidR="00961F71" w:rsidRPr="00961F71">
        <w:rPr>
          <w:rFonts w:cs="Times New Roman"/>
        </w:rPr>
        <w:t>dade igual a 12 anos completos e inferior a 21 anos completos</w:t>
      </w:r>
      <w:r w:rsidR="0060517B">
        <w:rPr>
          <w:rFonts w:cs="Times New Roman"/>
        </w:rPr>
        <w:t xml:space="preserve">, </w:t>
      </w:r>
      <w:r w:rsidR="004E46F5">
        <w:rPr>
          <w:rFonts w:cs="Times New Roman"/>
        </w:rPr>
        <w:t>no início do tratamento</w:t>
      </w:r>
      <w:r w:rsidR="00961F71" w:rsidRPr="00961F71">
        <w:rPr>
          <w:rFonts w:cs="Times New Roman"/>
        </w:rPr>
        <w:t>.</w:t>
      </w:r>
    </w:p>
    <w:p w14:paraId="51AD3873" w14:textId="6A4DDE9D" w:rsidR="00961F71" w:rsidRPr="00FF71B7" w:rsidRDefault="005C6644" w:rsidP="00961F71">
      <w:pPr>
        <w:pStyle w:val="PargrafodaLista"/>
        <w:numPr>
          <w:ilvl w:val="0"/>
          <w:numId w:val="18"/>
        </w:numPr>
        <w:tabs>
          <w:tab w:val="left" w:pos="686"/>
          <w:tab w:val="left" w:pos="718"/>
        </w:tabs>
        <w:ind w:left="0" w:firstLine="0"/>
        <w:rPr>
          <w:rFonts w:cs="Times New Roman"/>
        </w:rPr>
      </w:pPr>
      <w:r w:rsidRPr="00FF71B7">
        <w:rPr>
          <w:rFonts w:cs="Times New Roman"/>
        </w:rPr>
        <w:t>Ter d</w:t>
      </w:r>
      <w:r w:rsidR="00961F71" w:rsidRPr="00FF71B7">
        <w:rPr>
          <w:rFonts w:cs="Times New Roman"/>
        </w:rPr>
        <w:t xml:space="preserve">iagnóstico de </w:t>
      </w:r>
      <w:r w:rsidR="00FF71B7" w:rsidRPr="00FF71B7">
        <w:rPr>
          <w:rFonts w:cs="Times New Roman"/>
        </w:rPr>
        <w:t>o</w:t>
      </w:r>
      <w:r w:rsidR="00961F71" w:rsidRPr="00FF71B7">
        <w:rPr>
          <w:rFonts w:cs="Times New Roman"/>
        </w:rPr>
        <w:t>besidade</w:t>
      </w:r>
      <w:r w:rsidR="00FF71B7" w:rsidRPr="00FF71B7">
        <w:rPr>
          <w:rFonts w:cs="Times New Roman"/>
        </w:rPr>
        <w:t xml:space="preserve"> (IMC≥ 30 kg/m</w:t>
      </w:r>
      <w:r w:rsidR="00FF71B7" w:rsidRPr="00FF71B7">
        <w:rPr>
          <w:rFonts w:cs="Times New Roman"/>
          <w:vertAlign w:val="superscript"/>
        </w:rPr>
        <w:t>2</w:t>
      </w:r>
      <w:r w:rsidR="00B77785">
        <w:rPr>
          <w:rFonts w:cs="Times New Roman"/>
        </w:rPr>
        <w:t xml:space="preserve"> ou IMC</w:t>
      </w:r>
      <w:r w:rsidR="00B77785" w:rsidRPr="00FF71B7">
        <w:rPr>
          <w:rFonts w:cs="Times New Roman"/>
        </w:rPr>
        <w:t>≥</w:t>
      </w:r>
      <w:r w:rsidR="00B77785">
        <w:rPr>
          <w:rFonts w:cs="Times New Roman"/>
        </w:rPr>
        <w:t xml:space="preserve"> 95º percentil)</w:t>
      </w:r>
      <w:r w:rsidR="00FF71B7" w:rsidRPr="00FF71B7">
        <w:rPr>
          <w:rFonts w:cs="Times New Roman"/>
        </w:rPr>
        <w:t xml:space="preserve"> com ou sem </w:t>
      </w:r>
      <w:r w:rsidR="00FF71B7" w:rsidRPr="00FF71B7">
        <w:rPr>
          <w:rFonts w:cs="Times New Roman"/>
        </w:rPr>
        <w:lastRenderedPageBreak/>
        <w:t>comorbidade</w:t>
      </w:r>
      <w:r w:rsidR="00B05A14">
        <w:rPr>
          <w:rFonts w:cs="Times New Roman"/>
        </w:rPr>
        <w:t>s</w:t>
      </w:r>
      <w:r w:rsidR="00FF71B7" w:rsidRPr="00FF71B7">
        <w:rPr>
          <w:rFonts w:cs="Times New Roman"/>
        </w:rPr>
        <w:t>;</w:t>
      </w:r>
      <w:r w:rsidR="00FF71B7">
        <w:rPr>
          <w:rFonts w:cs="Times New Roman"/>
        </w:rPr>
        <w:t xml:space="preserve"> o</w:t>
      </w:r>
      <w:r w:rsidR="00FF71B7" w:rsidRPr="00FF71B7">
        <w:rPr>
          <w:rFonts w:cs="Times New Roman"/>
        </w:rPr>
        <w:t xml:space="preserve">u ter diagnóstico de </w:t>
      </w:r>
      <w:proofErr w:type="spellStart"/>
      <w:r w:rsidR="00FF71B7" w:rsidRPr="00FF71B7">
        <w:rPr>
          <w:rFonts w:cs="Times New Roman"/>
        </w:rPr>
        <w:t>pré</w:t>
      </w:r>
      <w:proofErr w:type="spellEnd"/>
      <w:r w:rsidR="00FF71B7" w:rsidRPr="00FF71B7">
        <w:rPr>
          <w:rFonts w:cs="Times New Roman"/>
        </w:rPr>
        <w:t>-obesidade</w:t>
      </w:r>
      <w:r w:rsidR="00BA33C1">
        <w:rPr>
          <w:rFonts w:cs="Times New Roman"/>
        </w:rPr>
        <w:t xml:space="preserve"> </w:t>
      </w:r>
      <w:r w:rsidR="00BA33C1" w:rsidRPr="00FF71B7">
        <w:rPr>
          <w:rFonts w:cs="Times New Roman"/>
        </w:rPr>
        <w:t>associada a comorbidade</w:t>
      </w:r>
      <w:r w:rsidR="00FE1F52">
        <w:rPr>
          <w:rFonts w:cs="Times New Roman"/>
        </w:rPr>
        <w:t>s</w:t>
      </w:r>
      <w:r w:rsidR="00BA33C1">
        <w:rPr>
          <w:rFonts w:cs="Times New Roman"/>
        </w:rPr>
        <w:t>, sempre com</w:t>
      </w:r>
      <w:r w:rsidR="00FF71B7" w:rsidRPr="00FF71B7">
        <w:rPr>
          <w:rFonts w:cs="Times New Roman"/>
        </w:rPr>
        <w:t xml:space="preserve"> IMC≥ 27 kg/m</w:t>
      </w:r>
      <w:r w:rsidR="00FF71B7" w:rsidRPr="00FF71B7">
        <w:rPr>
          <w:rFonts w:cs="Times New Roman"/>
          <w:vertAlign w:val="superscript"/>
        </w:rPr>
        <w:t>2</w:t>
      </w:r>
      <w:r w:rsidR="00FF71B7" w:rsidRPr="00FF71B7">
        <w:rPr>
          <w:rFonts w:cs="Times New Roman"/>
        </w:rPr>
        <w:t xml:space="preserve"> e &lt; 30 kg/m</w:t>
      </w:r>
      <w:r w:rsidR="00FF71B7" w:rsidRPr="00FF71B7">
        <w:rPr>
          <w:rFonts w:cs="Times New Roman"/>
          <w:vertAlign w:val="superscript"/>
        </w:rPr>
        <w:t>2</w:t>
      </w:r>
      <w:r w:rsidR="00BA33C1">
        <w:rPr>
          <w:rFonts w:cs="Times New Roman"/>
        </w:rPr>
        <w:t xml:space="preserve"> ou </w:t>
      </w:r>
      <w:r w:rsidR="005C2999">
        <w:rPr>
          <w:rFonts w:cs="Times New Roman"/>
        </w:rPr>
        <w:t>entre percentil 90º e 95º</w:t>
      </w:r>
      <w:r w:rsidR="00961F71" w:rsidRPr="00FF71B7">
        <w:rPr>
          <w:rFonts w:cs="Times New Roman"/>
        </w:rPr>
        <w:t>.</w:t>
      </w:r>
    </w:p>
    <w:p w14:paraId="5A71C5A8" w14:textId="77777777" w:rsidR="00961F71" w:rsidRDefault="00961F71" w:rsidP="00961F71">
      <w:pPr>
        <w:pStyle w:val="PargrafodaLista"/>
        <w:numPr>
          <w:ilvl w:val="0"/>
          <w:numId w:val="18"/>
        </w:numPr>
        <w:tabs>
          <w:tab w:val="left" w:pos="686"/>
          <w:tab w:val="left" w:pos="718"/>
        </w:tabs>
        <w:ind w:left="0" w:firstLine="0"/>
        <w:rPr>
          <w:rFonts w:cs="Times New Roman"/>
        </w:rPr>
      </w:pPr>
      <w:r w:rsidRPr="00961F71">
        <w:rPr>
          <w:rFonts w:cs="Times New Roman"/>
        </w:rPr>
        <w:t>Não apresentar fatores de contraindicação (intolerância conhecida à medicação).</w:t>
      </w:r>
    </w:p>
    <w:p w14:paraId="37942387" w14:textId="76DD2F2C" w:rsidR="00961F71" w:rsidRDefault="005C6644" w:rsidP="00961F71">
      <w:pPr>
        <w:pStyle w:val="PargrafodaLista"/>
        <w:numPr>
          <w:ilvl w:val="0"/>
          <w:numId w:val="18"/>
        </w:numPr>
        <w:tabs>
          <w:tab w:val="left" w:pos="686"/>
          <w:tab w:val="left" w:pos="718"/>
        </w:tabs>
        <w:ind w:left="0" w:firstLine="0"/>
        <w:rPr>
          <w:rFonts w:cs="Times New Roman"/>
        </w:rPr>
      </w:pPr>
      <w:r>
        <w:rPr>
          <w:rFonts w:cs="Times New Roman"/>
        </w:rPr>
        <w:t>Ser a</w:t>
      </w:r>
      <w:r w:rsidR="00961F71" w:rsidRPr="00961F71">
        <w:rPr>
          <w:rFonts w:cs="Times New Roman"/>
        </w:rPr>
        <w:t>companh</w:t>
      </w:r>
      <w:r>
        <w:rPr>
          <w:rFonts w:cs="Times New Roman"/>
        </w:rPr>
        <w:t>ada(o) por</w:t>
      </w:r>
      <w:r w:rsidR="00961F71" w:rsidRPr="00961F71">
        <w:rPr>
          <w:rFonts w:cs="Times New Roman"/>
        </w:rPr>
        <w:t xml:space="preserve"> equipe multiprofissional para </w:t>
      </w:r>
      <w:r w:rsidR="00F2215A">
        <w:rPr>
          <w:rFonts w:cs="Times New Roman"/>
        </w:rPr>
        <w:t>modificação do estilo de vida (</w:t>
      </w:r>
      <w:r w:rsidR="00961F71" w:rsidRPr="00961F71">
        <w:rPr>
          <w:rFonts w:cs="Times New Roman"/>
        </w:rPr>
        <w:t xml:space="preserve">orientação nutricional, de atividade física e </w:t>
      </w:r>
      <w:r w:rsidR="00F2215A">
        <w:rPr>
          <w:rFonts w:cs="Times New Roman"/>
        </w:rPr>
        <w:t xml:space="preserve">de </w:t>
      </w:r>
      <w:r w:rsidR="00961F71" w:rsidRPr="00961F71">
        <w:rPr>
          <w:rFonts w:cs="Times New Roman"/>
        </w:rPr>
        <w:t>mudanças comportamentais</w:t>
      </w:r>
      <w:r w:rsidR="00F2215A">
        <w:rPr>
          <w:rFonts w:cs="Times New Roman"/>
        </w:rPr>
        <w:t>)</w:t>
      </w:r>
      <w:r w:rsidR="00961F71" w:rsidRPr="00961F71">
        <w:rPr>
          <w:rFonts w:cs="Times New Roman"/>
        </w:rPr>
        <w:t>.</w:t>
      </w:r>
    </w:p>
    <w:p w14:paraId="1DD2879B" w14:textId="0FC7823F" w:rsidR="003A2883" w:rsidRDefault="00961F71" w:rsidP="00961F71">
      <w:pPr>
        <w:pStyle w:val="Ttulo1"/>
      </w:pPr>
      <w:r>
        <w:t xml:space="preserve">5 </w:t>
      </w:r>
      <w:r w:rsidR="003A2883" w:rsidRPr="007A3A65">
        <w:t>CRITÉRIO</w:t>
      </w:r>
      <w:r w:rsidR="00F2215A">
        <w:t>S</w:t>
      </w:r>
      <w:r w:rsidR="003A2883" w:rsidRPr="007A3A65">
        <w:t xml:space="preserve"> DE EXCLUSÃO</w:t>
      </w:r>
    </w:p>
    <w:p w14:paraId="23376696" w14:textId="21BA1616" w:rsidR="004E46F5" w:rsidRPr="002A3C8D" w:rsidRDefault="004E46F5" w:rsidP="004E46F5">
      <w:pPr>
        <w:tabs>
          <w:tab w:val="left" w:pos="686"/>
          <w:tab w:val="left" w:pos="718"/>
        </w:tabs>
        <w:ind w:firstLine="720"/>
        <w:rPr>
          <w:rFonts w:cs="Times New Roman"/>
        </w:rPr>
      </w:pPr>
      <w:r>
        <w:rPr>
          <w:rFonts w:cs="Times New Roman"/>
        </w:rPr>
        <w:t xml:space="preserve">Mesmo atendendo aos critérios de inclusão, </w:t>
      </w:r>
      <w:r w:rsidR="00F2215A">
        <w:rPr>
          <w:rFonts w:cs="Times New Roman"/>
        </w:rPr>
        <w:t xml:space="preserve">deverá </w:t>
      </w:r>
      <w:r>
        <w:rPr>
          <w:rFonts w:cs="Times New Roman"/>
        </w:rPr>
        <w:t>s</w:t>
      </w:r>
      <w:r w:rsidRPr="002A3C8D">
        <w:rPr>
          <w:rFonts w:cs="Times New Roman"/>
        </w:rPr>
        <w:t>er</w:t>
      </w:r>
      <w:r>
        <w:rPr>
          <w:rFonts w:cs="Times New Roman"/>
        </w:rPr>
        <w:t>á ex</w:t>
      </w:r>
      <w:r w:rsidRPr="002A3C8D">
        <w:rPr>
          <w:rFonts w:cs="Times New Roman"/>
        </w:rPr>
        <w:t>cluído o paciente que:</w:t>
      </w:r>
    </w:p>
    <w:p w14:paraId="3A335F9B" w14:textId="0F343C5A" w:rsidR="004E46F5" w:rsidRPr="004E46F5" w:rsidRDefault="00A7701A" w:rsidP="004E46F5">
      <w:pPr>
        <w:pStyle w:val="PargrafodaLista"/>
        <w:numPr>
          <w:ilvl w:val="0"/>
          <w:numId w:val="18"/>
        </w:numPr>
        <w:tabs>
          <w:tab w:val="left" w:pos="686"/>
          <w:tab w:val="left" w:pos="718"/>
        </w:tabs>
        <w:ind w:left="0" w:firstLine="0"/>
        <w:rPr>
          <w:rFonts w:cs="Times New Roman"/>
        </w:rPr>
      </w:pPr>
      <w:r>
        <w:rPr>
          <w:rFonts w:cs="Times New Roman"/>
        </w:rPr>
        <w:t>Estiv</w:t>
      </w:r>
      <w:r w:rsidR="004E46F5" w:rsidRPr="004E46F5">
        <w:rPr>
          <w:rFonts w:cs="Times New Roman"/>
        </w:rPr>
        <w:t xml:space="preserve">er </w:t>
      </w:r>
      <w:r w:rsidR="004E46F5">
        <w:rPr>
          <w:rFonts w:cs="Times New Roman"/>
        </w:rPr>
        <w:t>g</w:t>
      </w:r>
      <w:r w:rsidR="004E46F5" w:rsidRPr="004E46F5">
        <w:rPr>
          <w:rFonts w:cs="Times New Roman"/>
          <w:color w:val="auto"/>
        </w:rPr>
        <w:t xml:space="preserve">estante </w:t>
      </w:r>
      <w:r w:rsidR="004E46F5">
        <w:rPr>
          <w:rFonts w:cs="Times New Roman"/>
          <w:color w:val="auto"/>
        </w:rPr>
        <w:t>ou</w:t>
      </w:r>
      <w:r w:rsidR="004E46F5" w:rsidRPr="004E46F5">
        <w:rPr>
          <w:rFonts w:cs="Times New Roman"/>
          <w:color w:val="auto"/>
        </w:rPr>
        <w:t xml:space="preserve"> lactante</w:t>
      </w:r>
      <w:r w:rsidR="004E46F5">
        <w:rPr>
          <w:rFonts w:cs="Times New Roman"/>
          <w:color w:val="auto"/>
        </w:rPr>
        <w:t>.</w:t>
      </w:r>
    </w:p>
    <w:p w14:paraId="323E7F8D" w14:textId="10267221" w:rsidR="004E46F5" w:rsidRPr="004E46F5" w:rsidRDefault="004E46F5" w:rsidP="004E46F5">
      <w:pPr>
        <w:pStyle w:val="PargrafodaLista"/>
        <w:numPr>
          <w:ilvl w:val="0"/>
          <w:numId w:val="18"/>
        </w:numPr>
        <w:tabs>
          <w:tab w:val="left" w:pos="686"/>
          <w:tab w:val="left" w:pos="718"/>
        </w:tabs>
        <w:ind w:left="0" w:firstLine="0"/>
        <w:rPr>
          <w:rFonts w:cs="Times New Roman"/>
        </w:rPr>
      </w:pPr>
      <w:r>
        <w:rPr>
          <w:rFonts w:cs="Times New Roman"/>
          <w:color w:val="auto"/>
        </w:rPr>
        <w:t xml:space="preserve">Ter sido </w:t>
      </w:r>
      <w:r w:rsidRPr="004E46F5">
        <w:rPr>
          <w:rFonts w:cs="Times New Roman"/>
          <w:color w:val="auto"/>
        </w:rPr>
        <w:t xml:space="preserve">submetido </w:t>
      </w:r>
      <w:r>
        <w:rPr>
          <w:rFonts w:cs="Times New Roman"/>
          <w:color w:val="auto"/>
        </w:rPr>
        <w:t>a</w:t>
      </w:r>
      <w:r w:rsidRPr="004E46F5">
        <w:rPr>
          <w:rFonts w:cs="Times New Roman"/>
          <w:color w:val="auto"/>
        </w:rPr>
        <w:t xml:space="preserve"> cirurgia bariátrica</w:t>
      </w:r>
      <w:r>
        <w:rPr>
          <w:rFonts w:cs="Times New Roman"/>
          <w:color w:val="auto"/>
        </w:rPr>
        <w:t xml:space="preserve"> há menos de </w:t>
      </w:r>
      <w:r w:rsidRPr="004E46F5">
        <w:rPr>
          <w:rFonts w:cs="Times New Roman"/>
          <w:color w:val="auto"/>
        </w:rPr>
        <w:t>18 meses</w:t>
      </w:r>
      <w:r>
        <w:rPr>
          <w:rFonts w:cs="Times New Roman"/>
          <w:color w:val="auto"/>
        </w:rPr>
        <w:t>.</w:t>
      </w:r>
    </w:p>
    <w:p w14:paraId="0972513E" w14:textId="47EC6C05" w:rsidR="00DE31D2" w:rsidRPr="004E46F5" w:rsidRDefault="004E46F5" w:rsidP="004E46F5">
      <w:pPr>
        <w:pStyle w:val="PargrafodaLista"/>
        <w:numPr>
          <w:ilvl w:val="0"/>
          <w:numId w:val="18"/>
        </w:numPr>
        <w:tabs>
          <w:tab w:val="left" w:pos="686"/>
          <w:tab w:val="left" w:pos="718"/>
        </w:tabs>
        <w:ind w:left="0" w:firstLine="0"/>
        <w:rPr>
          <w:rFonts w:cs="Times New Roman"/>
        </w:rPr>
      </w:pPr>
      <w:r>
        <w:rPr>
          <w:rFonts w:cs="Times New Roman"/>
          <w:color w:val="auto"/>
        </w:rPr>
        <w:t>Ter</w:t>
      </w:r>
      <w:r w:rsidRPr="004E46F5">
        <w:rPr>
          <w:rFonts w:cs="Times New Roman"/>
          <w:color w:val="auto"/>
        </w:rPr>
        <w:t xml:space="preserve"> história de pancreatite aguda</w:t>
      </w:r>
      <w:r>
        <w:rPr>
          <w:rFonts w:cs="Times New Roman"/>
          <w:color w:val="auto"/>
        </w:rPr>
        <w:t>, pancreatite</w:t>
      </w:r>
      <w:r w:rsidRPr="004E46F5">
        <w:rPr>
          <w:rFonts w:cs="Times New Roman"/>
          <w:color w:val="auto"/>
        </w:rPr>
        <w:t xml:space="preserve"> crônica </w:t>
      </w:r>
      <w:r>
        <w:rPr>
          <w:rFonts w:cs="Times New Roman"/>
          <w:color w:val="auto"/>
        </w:rPr>
        <w:t>ou</w:t>
      </w:r>
      <w:r w:rsidRPr="004E46F5">
        <w:rPr>
          <w:rFonts w:cs="Times New Roman"/>
          <w:color w:val="auto"/>
        </w:rPr>
        <w:t xml:space="preserve"> </w:t>
      </w:r>
      <w:r>
        <w:rPr>
          <w:rFonts w:cs="Times New Roman"/>
          <w:color w:val="auto"/>
        </w:rPr>
        <w:t>c</w:t>
      </w:r>
      <w:r w:rsidRPr="004E46F5">
        <w:rPr>
          <w:rFonts w:cs="Times New Roman"/>
          <w:color w:val="auto"/>
        </w:rPr>
        <w:t xml:space="preserve">arcinoma </w:t>
      </w:r>
      <w:r>
        <w:rPr>
          <w:rFonts w:cs="Times New Roman"/>
          <w:color w:val="auto"/>
        </w:rPr>
        <w:t>m</w:t>
      </w:r>
      <w:r w:rsidRPr="004E46F5">
        <w:rPr>
          <w:rFonts w:cs="Times New Roman"/>
          <w:color w:val="auto"/>
        </w:rPr>
        <w:t xml:space="preserve">edular da </w:t>
      </w:r>
      <w:r>
        <w:rPr>
          <w:rFonts w:cs="Times New Roman"/>
          <w:color w:val="auto"/>
        </w:rPr>
        <w:t>t</w:t>
      </w:r>
      <w:r w:rsidRPr="004E46F5">
        <w:rPr>
          <w:rFonts w:cs="Times New Roman"/>
          <w:color w:val="auto"/>
        </w:rPr>
        <w:t>ireoide</w:t>
      </w:r>
      <w:r>
        <w:rPr>
          <w:rFonts w:cs="Times New Roman"/>
          <w:color w:val="auto"/>
        </w:rPr>
        <w:t>.</w:t>
      </w:r>
    </w:p>
    <w:p w14:paraId="73948508" w14:textId="56CCCA1B" w:rsidR="003A2883" w:rsidRDefault="006D2D30" w:rsidP="0060517B">
      <w:pPr>
        <w:pStyle w:val="Ttulo1"/>
      </w:pPr>
      <w:r>
        <w:t>6</w:t>
      </w:r>
      <w:r w:rsidR="003A2883">
        <w:t xml:space="preserve"> </w:t>
      </w:r>
      <w:r>
        <w:t>TRATAMENTO</w:t>
      </w:r>
    </w:p>
    <w:p w14:paraId="17EAFCB9" w14:textId="77777777" w:rsidR="003864DA" w:rsidRPr="003864DA" w:rsidRDefault="003864DA" w:rsidP="003864DA">
      <w:pPr>
        <w:tabs>
          <w:tab w:val="left" w:pos="686"/>
          <w:tab w:val="left" w:pos="718"/>
        </w:tabs>
        <w:ind w:firstLine="720"/>
        <w:rPr>
          <w:rFonts w:cs="Times New Roman"/>
        </w:rPr>
      </w:pPr>
      <w:r w:rsidRPr="003864DA">
        <w:rPr>
          <w:rFonts w:cs="Times New Roman"/>
        </w:rPr>
        <w:t>O tratamento da obesidade está fundamentado nas intervenções para modificação do estilo de vida que incluem orientação dietoterápica, aumento da atividade física e em mudanças comportamentais. A abordagem por equipe multiprofissional e interdisciplinar tem um papel importante na condução do indivíduo obeso, melhora os resultados para a perda de peso e manutenção do peso perdido e resulta em ganhos para a sociedade e o sistema de saúde.</w:t>
      </w:r>
    </w:p>
    <w:p w14:paraId="2CEE0100" w14:textId="77777777" w:rsidR="003864DA" w:rsidRPr="003864DA" w:rsidRDefault="003864DA" w:rsidP="003864DA">
      <w:pPr>
        <w:tabs>
          <w:tab w:val="left" w:pos="686"/>
          <w:tab w:val="left" w:pos="718"/>
        </w:tabs>
        <w:ind w:firstLine="720"/>
        <w:rPr>
          <w:rFonts w:cs="Times New Roman"/>
        </w:rPr>
      </w:pPr>
      <w:r w:rsidRPr="003864DA">
        <w:rPr>
          <w:rFonts w:cs="Times New Roman"/>
        </w:rPr>
        <w:t xml:space="preserve">A equipe mínima deverá ser composta por médico, nutricionista, farmacêutico, psicólogo e educador físico. A equipe deverá focar na avaliação do comportamento alimentar, a presença de rede de apoio social e familiar do paciente, a percepção do paciente com obesidade em relação às mudanças comportamentais visando o emagrecimento, as expectativas desses resultados, a presença de distúrbios alimentares, distúrbios do sono, estresse e depressão, além do estilo de vida do paciente. </w:t>
      </w:r>
    </w:p>
    <w:p w14:paraId="41A934E4" w14:textId="77777777" w:rsidR="003864DA" w:rsidRPr="003864DA" w:rsidRDefault="003864DA" w:rsidP="003864DA">
      <w:pPr>
        <w:tabs>
          <w:tab w:val="left" w:pos="686"/>
          <w:tab w:val="left" w:pos="718"/>
        </w:tabs>
        <w:ind w:firstLine="720"/>
        <w:rPr>
          <w:rFonts w:cs="Times New Roman"/>
        </w:rPr>
      </w:pPr>
      <w:r w:rsidRPr="003864DA">
        <w:rPr>
          <w:rFonts w:cs="Times New Roman"/>
        </w:rPr>
        <w:t xml:space="preserve">O farmacêutico deverá atuar na educação do paciente quanto à conservação, manipulação e aplicação da medicação. </w:t>
      </w:r>
    </w:p>
    <w:p w14:paraId="68711221" w14:textId="71AA16F0" w:rsidR="006D2D30" w:rsidRDefault="003864DA" w:rsidP="003864DA">
      <w:pPr>
        <w:tabs>
          <w:tab w:val="left" w:pos="686"/>
          <w:tab w:val="left" w:pos="718"/>
        </w:tabs>
        <w:ind w:firstLine="720"/>
        <w:rPr>
          <w:rFonts w:cs="Times New Roman"/>
        </w:rPr>
      </w:pPr>
      <w:r w:rsidRPr="003864DA">
        <w:rPr>
          <w:rFonts w:cs="Times New Roman"/>
        </w:rPr>
        <w:t xml:space="preserve">A proposta de tratamento dietético que envolva aumento no gasto energético, promovendo um balanço energético negativo, sem restrições rígidas que interfiram na aplicação por tempo ilimitado. O incentivo ao exercício físico, respeitando-se as individualidades, tem o </w:t>
      </w:r>
      <w:r w:rsidRPr="003864DA">
        <w:rPr>
          <w:rFonts w:cs="Times New Roman"/>
        </w:rPr>
        <w:lastRenderedPageBreak/>
        <w:t>objetivo de diminuir a inatividade física. A recomendação é de pelo menos 150 minutos de atividade por semana durante a fase ativa e 300 minutos por semana durante a fase de manutenção. Com essas medidas são alcançados resultados mais modestos e com chance maior de recidiva quando adotados exclusivamente, há perda de peso de 3-5%, enquanto com a farmacoterapia associada a perda de peso é de 3-10%</w:t>
      </w:r>
      <w:r w:rsidR="00FF71B7">
        <w:rPr>
          <w:rFonts w:cs="Times New Roman"/>
        </w:rPr>
        <w:t xml:space="preserve"> </w:t>
      </w:r>
      <w:r w:rsidRPr="003864DA">
        <w:rPr>
          <w:rFonts w:cs="Times New Roman"/>
        </w:rPr>
        <w:t>(LEAN et al., 2018; PATEL, 2015; PI-SUNYER et al., 2015; TSAI; WADDEN, 2006; WADDEN et al., 2013)</w:t>
      </w:r>
      <w:r w:rsidR="00FF71B7">
        <w:rPr>
          <w:rFonts w:cs="Times New Roman"/>
        </w:rPr>
        <w:t>.</w:t>
      </w:r>
    </w:p>
    <w:p w14:paraId="0128490A" w14:textId="70667A2F" w:rsidR="006D2D30" w:rsidRDefault="006D2D30" w:rsidP="003864DA">
      <w:pPr>
        <w:pStyle w:val="Ttulo2"/>
      </w:pPr>
      <w:r>
        <w:t xml:space="preserve">6.1 </w:t>
      </w:r>
      <w:r w:rsidR="003864DA">
        <w:t>Tratamento farmacológico</w:t>
      </w:r>
    </w:p>
    <w:p w14:paraId="2C0AEBE7" w14:textId="358E04DD" w:rsidR="00613008" w:rsidRPr="00613008" w:rsidRDefault="00613008" w:rsidP="00613008">
      <w:pPr>
        <w:tabs>
          <w:tab w:val="left" w:pos="686"/>
          <w:tab w:val="left" w:pos="718"/>
        </w:tabs>
        <w:ind w:firstLine="720"/>
        <w:rPr>
          <w:rFonts w:cs="Times New Roman"/>
        </w:rPr>
      </w:pPr>
      <w:r w:rsidRPr="00613008">
        <w:rPr>
          <w:rFonts w:cs="Times New Roman"/>
        </w:rPr>
        <w:t xml:space="preserve">Tratamento medicamentoso está aprovado a partir do IMC&gt; 27 </w:t>
      </w:r>
      <w:r w:rsidR="00FF5568">
        <w:rPr>
          <w:rFonts w:cs="Times New Roman"/>
        </w:rPr>
        <w:t>k</w:t>
      </w:r>
      <w:r w:rsidRPr="00613008">
        <w:rPr>
          <w:rFonts w:cs="Times New Roman"/>
        </w:rPr>
        <w:t>g/m</w:t>
      </w:r>
      <w:r w:rsidRPr="00FF5568">
        <w:rPr>
          <w:rFonts w:cs="Times New Roman"/>
          <w:vertAlign w:val="superscript"/>
        </w:rPr>
        <w:t>2</w:t>
      </w:r>
      <w:r w:rsidRPr="00613008">
        <w:rPr>
          <w:rFonts w:cs="Times New Roman"/>
        </w:rPr>
        <w:t xml:space="preserve"> associado a comorbidades ou ≥ 30 kg/m</w:t>
      </w:r>
      <w:r w:rsidRPr="00644A1F">
        <w:rPr>
          <w:rFonts w:cs="Times New Roman"/>
          <w:i/>
          <w:iCs/>
        </w:rPr>
        <w:t>2</w:t>
      </w:r>
      <w:r w:rsidRPr="00613008">
        <w:rPr>
          <w:rFonts w:cs="Times New Roman"/>
        </w:rPr>
        <w:t xml:space="preserve"> mesmo na ausência de comorbidades. </w:t>
      </w:r>
      <w:proofErr w:type="spellStart"/>
      <w:r w:rsidRPr="00613008">
        <w:rPr>
          <w:rFonts w:cs="Times New Roman"/>
        </w:rPr>
        <w:t>Liraglutida</w:t>
      </w:r>
      <w:proofErr w:type="spellEnd"/>
      <w:r w:rsidRPr="00613008">
        <w:rPr>
          <w:rFonts w:cs="Times New Roman"/>
        </w:rPr>
        <w:t xml:space="preserve"> é </w:t>
      </w:r>
      <w:r w:rsidR="00C20F5F">
        <w:rPr>
          <w:rFonts w:cs="Times New Roman"/>
        </w:rPr>
        <w:t>o</w:t>
      </w:r>
      <w:r w:rsidRPr="00613008">
        <w:rPr>
          <w:rFonts w:cs="Times New Roman"/>
        </w:rPr>
        <w:t xml:space="preserve"> únic</w:t>
      </w:r>
      <w:r w:rsidR="00C20F5F">
        <w:rPr>
          <w:rFonts w:cs="Times New Roman"/>
        </w:rPr>
        <w:t>o</w:t>
      </w:r>
      <w:r w:rsidRPr="00613008">
        <w:rPr>
          <w:rFonts w:cs="Times New Roman"/>
        </w:rPr>
        <w:t xml:space="preserve"> medica</w:t>
      </w:r>
      <w:r w:rsidR="00C20F5F">
        <w:rPr>
          <w:rFonts w:cs="Times New Roman"/>
        </w:rPr>
        <w:t>mento</w:t>
      </w:r>
      <w:r w:rsidRPr="00613008">
        <w:rPr>
          <w:rFonts w:cs="Times New Roman"/>
        </w:rPr>
        <w:t xml:space="preserve"> aprovada para uso em adolescentes a partir dos 12 anos de idade com peso corporal </w:t>
      </w:r>
      <w:r w:rsidR="00FF5568">
        <w:rPr>
          <w:rFonts w:cs="Times New Roman"/>
        </w:rPr>
        <w:t>maior que</w:t>
      </w:r>
      <w:r w:rsidRPr="00613008">
        <w:rPr>
          <w:rFonts w:cs="Times New Roman"/>
        </w:rPr>
        <w:t xml:space="preserve"> 60 </w:t>
      </w:r>
      <w:r w:rsidR="00FF5568">
        <w:rPr>
          <w:rFonts w:cs="Times New Roman"/>
        </w:rPr>
        <w:t>k</w:t>
      </w:r>
      <w:r w:rsidRPr="00613008">
        <w:rPr>
          <w:rFonts w:cs="Times New Roman"/>
        </w:rPr>
        <w:t>g e IMC correspondendo a 30</w:t>
      </w:r>
      <w:r w:rsidR="00FF5568">
        <w:rPr>
          <w:rFonts w:cs="Times New Roman"/>
        </w:rPr>
        <w:t xml:space="preserve"> k</w:t>
      </w:r>
      <w:r w:rsidRPr="00613008">
        <w:rPr>
          <w:rFonts w:cs="Times New Roman"/>
        </w:rPr>
        <w:t>g/m² para adultos. A recomendação para continuidade do tratamento medicamentoso é de acordo com a boa resposta terapêutica:</w:t>
      </w:r>
    </w:p>
    <w:p w14:paraId="3A08D077" w14:textId="08E87628" w:rsidR="00613008" w:rsidRPr="00BD13E9" w:rsidRDefault="00613008" w:rsidP="00BD13E9">
      <w:pPr>
        <w:pStyle w:val="PargrafodaLista"/>
        <w:numPr>
          <w:ilvl w:val="0"/>
          <w:numId w:val="18"/>
        </w:numPr>
        <w:tabs>
          <w:tab w:val="left" w:pos="686"/>
          <w:tab w:val="left" w:pos="718"/>
        </w:tabs>
        <w:ind w:left="0" w:firstLine="0"/>
        <w:rPr>
          <w:rFonts w:cs="Times New Roman"/>
        </w:rPr>
      </w:pPr>
      <w:r w:rsidRPr="00BD13E9">
        <w:rPr>
          <w:rFonts w:cs="Times New Roman"/>
        </w:rPr>
        <w:t xml:space="preserve">Perda de peso de no mínimo 5% do peso inicial, no terceiro ao sexto mês do uso </w:t>
      </w:r>
      <w:r w:rsidR="005C7C09">
        <w:rPr>
          <w:rFonts w:cs="Times New Roman"/>
        </w:rPr>
        <w:t>em</w:t>
      </w:r>
      <w:r w:rsidRPr="00BD13E9">
        <w:rPr>
          <w:rFonts w:cs="Times New Roman"/>
        </w:rPr>
        <w:t xml:space="preserve"> dose plena do medicamento.</w:t>
      </w:r>
    </w:p>
    <w:p w14:paraId="7F322D02" w14:textId="77777777" w:rsidR="00613008" w:rsidRPr="00BD13E9" w:rsidRDefault="00613008" w:rsidP="00BD13E9">
      <w:pPr>
        <w:pStyle w:val="PargrafodaLista"/>
        <w:numPr>
          <w:ilvl w:val="0"/>
          <w:numId w:val="18"/>
        </w:numPr>
        <w:tabs>
          <w:tab w:val="left" w:pos="686"/>
          <w:tab w:val="left" w:pos="718"/>
        </w:tabs>
        <w:ind w:left="0" w:firstLine="0"/>
        <w:rPr>
          <w:rFonts w:cs="Times New Roman"/>
        </w:rPr>
      </w:pPr>
      <w:r w:rsidRPr="00BD13E9">
        <w:rPr>
          <w:rFonts w:cs="Times New Roman"/>
        </w:rPr>
        <w:t>Possível modificação dos fatores de risco acaso presentes no início do tratamento.</w:t>
      </w:r>
    </w:p>
    <w:p w14:paraId="42F5A661" w14:textId="6EC804C7" w:rsidR="00613008" w:rsidRPr="00613008" w:rsidRDefault="00613008" w:rsidP="00613008">
      <w:pPr>
        <w:tabs>
          <w:tab w:val="left" w:pos="686"/>
          <w:tab w:val="left" w:pos="718"/>
        </w:tabs>
        <w:ind w:firstLine="720"/>
        <w:rPr>
          <w:rFonts w:cs="Times New Roman"/>
        </w:rPr>
      </w:pPr>
      <w:r w:rsidRPr="00613008">
        <w:rPr>
          <w:rFonts w:cs="Times New Roman"/>
        </w:rPr>
        <w:t xml:space="preserve">Embora a perda de peso sustentada de 3% a 5% do peso já possa levar a reduções clinicamente significativas em alguns fatores de risco cardiovasculares, perdas </w:t>
      </w:r>
      <w:r w:rsidR="005C7C09">
        <w:rPr>
          <w:rFonts w:cs="Times New Roman"/>
        </w:rPr>
        <w:t xml:space="preserve">maiores </w:t>
      </w:r>
      <w:r w:rsidRPr="00613008">
        <w:rPr>
          <w:rFonts w:cs="Times New Roman"/>
        </w:rPr>
        <w:t>de peso produzem maiores benefícios</w:t>
      </w:r>
      <w:r w:rsidR="005C7C09">
        <w:rPr>
          <w:rFonts w:cs="Times New Roman"/>
        </w:rPr>
        <w:t>.</w:t>
      </w:r>
      <w:r w:rsidRPr="00613008">
        <w:rPr>
          <w:rFonts w:cs="Times New Roman"/>
        </w:rPr>
        <w:t xml:space="preserve"> </w:t>
      </w:r>
      <w:r w:rsidR="005C7C09">
        <w:rPr>
          <w:rFonts w:cs="Times New Roman"/>
        </w:rPr>
        <w:t>Q</w:t>
      </w:r>
      <w:r w:rsidRPr="00613008">
        <w:rPr>
          <w:rFonts w:cs="Times New Roman"/>
        </w:rPr>
        <w:t xml:space="preserve">uando igual ou superior a 10% do peso inicial, </w:t>
      </w:r>
      <w:r w:rsidR="005C7C09">
        <w:rPr>
          <w:rFonts w:cs="Times New Roman"/>
        </w:rPr>
        <w:t xml:space="preserve">a perda de peso </w:t>
      </w:r>
      <w:r w:rsidRPr="00613008">
        <w:rPr>
          <w:rFonts w:cs="Times New Roman"/>
        </w:rPr>
        <w:t>relaciona</w:t>
      </w:r>
      <w:r w:rsidR="005C7C09">
        <w:rPr>
          <w:rFonts w:cs="Times New Roman"/>
        </w:rPr>
        <w:t>-se</w:t>
      </w:r>
      <w:r w:rsidRPr="00613008">
        <w:rPr>
          <w:rFonts w:cs="Times New Roman"/>
        </w:rPr>
        <w:t xml:space="preserve"> a melhorias das comorbidades, inclusive maiores chances de remissão do diabetes</w:t>
      </w:r>
      <w:r w:rsidR="004E451A">
        <w:rPr>
          <w:rFonts w:cs="Times New Roman"/>
        </w:rPr>
        <w:t xml:space="preserve"> (</w:t>
      </w:r>
      <w:r w:rsidR="004E451A">
        <w:t xml:space="preserve">FALUDI et al., 2017; </w:t>
      </w:r>
      <w:r w:rsidR="004E451A" w:rsidRPr="00F83C4E">
        <w:rPr>
          <w:rFonts w:cs="Times New Roman"/>
          <w:color w:val="auto"/>
        </w:rPr>
        <w:t xml:space="preserve">KELLY </w:t>
      </w:r>
      <w:r w:rsidR="004E451A">
        <w:t>et al., 2020)</w:t>
      </w:r>
      <w:r w:rsidRPr="00613008">
        <w:rPr>
          <w:rFonts w:cs="Times New Roman"/>
        </w:rPr>
        <w:t>.</w:t>
      </w:r>
    </w:p>
    <w:p w14:paraId="4C6FE5F5" w14:textId="31B25B04" w:rsidR="00613008" w:rsidRPr="00613008" w:rsidRDefault="00613008" w:rsidP="00613008">
      <w:pPr>
        <w:tabs>
          <w:tab w:val="left" w:pos="686"/>
          <w:tab w:val="left" w:pos="718"/>
        </w:tabs>
        <w:ind w:firstLine="720"/>
        <w:rPr>
          <w:rFonts w:cs="Times New Roman"/>
        </w:rPr>
      </w:pPr>
      <w:proofErr w:type="spellStart"/>
      <w:r w:rsidRPr="00613008">
        <w:rPr>
          <w:rFonts w:cs="Times New Roman"/>
        </w:rPr>
        <w:t>Liraglutida</w:t>
      </w:r>
      <w:proofErr w:type="spellEnd"/>
      <w:r w:rsidRPr="00613008">
        <w:rPr>
          <w:rFonts w:cs="Times New Roman"/>
        </w:rPr>
        <w:t xml:space="preserve"> é </w:t>
      </w:r>
      <w:r w:rsidR="00043A91">
        <w:rPr>
          <w:rFonts w:cs="Times New Roman"/>
        </w:rPr>
        <w:t xml:space="preserve">um medicamento </w:t>
      </w:r>
      <w:r w:rsidRPr="00613008">
        <w:rPr>
          <w:rFonts w:cs="Times New Roman"/>
        </w:rPr>
        <w:t>segur</w:t>
      </w:r>
      <w:r w:rsidR="00043A91">
        <w:rPr>
          <w:rFonts w:cs="Times New Roman"/>
        </w:rPr>
        <w:t>o</w:t>
      </w:r>
      <w:r w:rsidRPr="00613008">
        <w:rPr>
          <w:rFonts w:cs="Times New Roman"/>
        </w:rPr>
        <w:t xml:space="preserve"> do ponto de vista psiquiátrico e cardiovascular, </w:t>
      </w:r>
      <w:r w:rsidR="00043A91">
        <w:rPr>
          <w:rFonts w:cs="Times New Roman"/>
        </w:rPr>
        <w:t xml:space="preserve">pois </w:t>
      </w:r>
      <w:r w:rsidRPr="00613008">
        <w:rPr>
          <w:rFonts w:cs="Times New Roman"/>
        </w:rPr>
        <w:t>não apresenta interações com medicações de uso central, anti</w:t>
      </w:r>
      <w:r w:rsidR="00450682">
        <w:rPr>
          <w:rFonts w:cs="Times New Roman"/>
        </w:rPr>
        <w:t>-</w:t>
      </w:r>
      <w:r w:rsidRPr="00613008">
        <w:rPr>
          <w:rFonts w:cs="Times New Roman"/>
        </w:rPr>
        <w:t>hipertensivos ou outr</w:t>
      </w:r>
      <w:r w:rsidR="00450682">
        <w:rPr>
          <w:rFonts w:cs="Times New Roman"/>
        </w:rPr>
        <w:t>o</w:t>
      </w:r>
      <w:r w:rsidRPr="00613008">
        <w:rPr>
          <w:rFonts w:cs="Times New Roman"/>
        </w:rPr>
        <w:t>s medica</w:t>
      </w:r>
      <w:r w:rsidR="00450682">
        <w:rPr>
          <w:rFonts w:cs="Times New Roman"/>
        </w:rPr>
        <w:t>mento</w:t>
      </w:r>
      <w:r w:rsidRPr="00613008">
        <w:rPr>
          <w:rFonts w:cs="Times New Roman"/>
        </w:rPr>
        <w:t xml:space="preserve">s. Além disso, é </w:t>
      </w:r>
      <w:r w:rsidR="00F42608">
        <w:rPr>
          <w:rFonts w:cs="Times New Roman"/>
        </w:rPr>
        <w:t>um</w:t>
      </w:r>
      <w:r w:rsidRPr="00613008">
        <w:rPr>
          <w:rFonts w:cs="Times New Roman"/>
        </w:rPr>
        <w:t>a droga antiobesidade eficaz disponível no Brasil e</w:t>
      </w:r>
      <w:r w:rsidR="00F42608">
        <w:rPr>
          <w:rFonts w:cs="Times New Roman"/>
        </w:rPr>
        <w:t>,</w:t>
      </w:r>
      <w:r w:rsidRPr="00613008">
        <w:rPr>
          <w:rFonts w:cs="Times New Roman"/>
        </w:rPr>
        <w:t xml:space="preserve"> possivelmente, uma das únicas opções de tratamento seguro para </w:t>
      </w:r>
      <w:r w:rsidR="003D704B">
        <w:rPr>
          <w:rFonts w:cs="Times New Roman"/>
        </w:rPr>
        <w:t>adolescentes</w:t>
      </w:r>
      <w:r w:rsidRPr="00613008">
        <w:rPr>
          <w:rFonts w:cs="Times New Roman"/>
        </w:rPr>
        <w:t>.</w:t>
      </w:r>
      <w:r w:rsidR="00F42608">
        <w:rPr>
          <w:rFonts w:cs="Times New Roman"/>
        </w:rPr>
        <w:t xml:space="preserve"> </w:t>
      </w:r>
      <w:r w:rsidRPr="00613008">
        <w:rPr>
          <w:rFonts w:cs="Times New Roman"/>
        </w:rPr>
        <w:t>Terapia medicamentosa antiobesidade pode conferir entre 5% e 15% da perda total de peso após cirurgia bariátrica sem intervenção cirúrgica adicional</w:t>
      </w:r>
      <w:r w:rsidR="001B5769">
        <w:rPr>
          <w:rFonts w:cs="Times New Roman"/>
        </w:rPr>
        <w:t xml:space="preserve"> (</w:t>
      </w:r>
      <w:r w:rsidR="001B5769">
        <w:t>FALUDI et al., 2017</w:t>
      </w:r>
      <w:r w:rsidR="00F44825">
        <w:t xml:space="preserve">; </w:t>
      </w:r>
      <w:r w:rsidR="00F83C4E" w:rsidRPr="00F83C4E">
        <w:rPr>
          <w:rFonts w:cs="Times New Roman"/>
          <w:color w:val="auto"/>
        </w:rPr>
        <w:t xml:space="preserve">KELLY </w:t>
      </w:r>
      <w:r w:rsidR="00F83C4E">
        <w:t>et al., 2020</w:t>
      </w:r>
      <w:r w:rsidR="001B5769">
        <w:t>)</w:t>
      </w:r>
      <w:r w:rsidRPr="00613008">
        <w:rPr>
          <w:rFonts w:cs="Times New Roman"/>
        </w:rPr>
        <w:t>.</w:t>
      </w:r>
    </w:p>
    <w:p w14:paraId="7BD5B45A" w14:textId="1E2569C9" w:rsidR="00613008" w:rsidRPr="00613008" w:rsidRDefault="00613008" w:rsidP="00613008">
      <w:pPr>
        <w:tabs>
          <w:tab w:val="left" w:pos="686"/>
          <w:tab w:val="left" w:pos="718"/>
        </w:tabs>
        <w:ind w:firstLine="720"/>
        <w:rPr>
          <w:rFonts w:cs="Times New Roman"/>
        </w:rPr>
      </w:pPr>
      <w:r w:rsidRPr="00613008">
        <w:rPr>
          <w:rFonts w:cs="Times New Roman"/>
        </w:rPr>
        <w:t xml:space="preserve">A abordagem medicamentosa desse protocolo é para uso da </w:t>
      </w:r>
      <w:proofErr w:type="spellStart"/>
      <w:r w:rsidR="00C20F5F">
        <w:rPr>
          <w:rFonts w:cs="Times New Roman"/>
        </w:rPr>
        <w:t>l</w:t>
      </w:r>
      <w:r w:rsidRPr="00613008">
        <w:rPr>
          <w:rFonts w:cs="Times New Roman"/>
        </w:rPr>
        <w:t>iraglutida</w:t>
      </w:r>
      <w:proofErr w:type="spellEnd"/>
      <w:r w:rsidRPr="00613008">
        <w:rPr>
          <w:rFonts w:cs="Times New Roman"/>
        </w:rPr>
        <w:t xml:space="preserve"> como primeira escolha para obesidade em adolescentes </w:t>
      </w:r>
      <w:r w:rsidR="00C20F5F">
        <w:rPr>
          <w:rFonts w:cs="Times New Roman"/>
        </w:rPr>
        <w:t xml:space="preserve">maiores que </w:t>
      </w:r>
      <w:r w:rsidRPr="00613008">
        <w:rPr>
          <w:rFonts w:cs="Times New Roman"/>
        </w:rPr>
        <w:t xml:space="preserve">12 anos e adultos, com ou sem </w:t>
      </w:r>
      <w:r w:rsidRPr="00613008">
        <w:rPr>
          <w:rFonts w:cs="Times New Roman"/>
        </w:rPr>
        <w:lastRenderedPageBreak/>
        <w:t xml:space="preserve">diagnósticos adicionais de diabetes, </w:t>
      </w:r>
      <w:proofErr w:type="spellStart"/>
      <w:r w:rsidRPr="00613008">
        <w:rPr>
          <w:rFonts w:cs="Times New Roman"/>
        </w:rPr>
        <w:t>pré</w:t>
      </w:r>
      <w:proofErr w:type="spellEnd"/>
      <w:r w:rsidRPr="00613008">
        <w:rPr>
          <w:rFonts w:cs="Times New Roman"/>
        </w:rPr>
        <w:t>-diabetes, doença hepática gordurosa não alcoólica (DHGNA), hipertensão arterial, cardiopatia e alto risco cardiovascular</w:t>
      </w:r>
      <w:r w:rsidR="00C20F5F">
        <w:rPr>
          <w:rFonts w:cs="Times New Roman"/>
        </w:rPr>
        <w:t xml:space="preserve"> </w:t>
      </w:r>
      <w:r w:rsidRPr="00613008">
        <w:rPr>
          <w:rFonts w:cs="Times New Roman"/>
        </w:rPr>
        <w:t>(ANKER; BUTLER; ANKER, 2020; DANNE et al., 2017; DAVIES et al., 2015; JAMES et al., 2010; KELLY et al., 2020; KOCHAR; SETHI, 2019; LADENHEIM, 2015; LIN et al., 2020; MALJAEI et al., 2020; MANN et al., 2007; NUFFER; TRUJILLO, 2015; PASTOR; TUR, 2019; PI-SUNYER et al., 2015; WADDEN et al., 2011, 2013).</w:t>
      </w:r>
    </w:p>
    <w:p w14:paraId="2F6BC34D" w14:textId="7684EBE2" w:rsidR="00613008" w:rsidRPr="00613008" w:rsidRDefault="001F6A24" w:rsidP="00613008">
      <w:pPr>
        <w:tabs>
          <w:tab w:val="left" w:pos="686"/>
          <w:tab w:val="left" w:pos="718"/>
        </w:tabs>
        <w:ind w:firstLine="720"/>
        <w:rPr>
          <w:rFonts w:cs="Times New Roman"/>
        </w:rPr>
      </w:pPr>
      <w:r>
        <w:rPr>
          <w:rFonts w:cs="Times New Roman"/>
        </w:rPr>
        <w:t xml:space="preserve">O medicamento </w:t>
      </w:r>
      <w:proofErr w:type="spellStart"/>
      <w:r>
        <w:rPr>
          <w:rFonts w:cs="Times New Roman"/>
        </w:rPr>
        <w:t>l</w:t>
      </w:r>
      <w:r w:rsidR="00613008" w:rsidRPr="00613008">
        <w:rPr>
          <w:rFonts w:cs="Times New Roman"/>
        </w:rPr>
        <w:t>iraglutida</w:t>
      </w:r>
      <w:proofErr w:type="spellEnd"/>
      <w:r w:rsidR="00613008" w:rsidRPr="00613008">
        <w:rPr>
          <w:rFonts w:cs="Times New Roman"/>
        </w:rPr>
        <w:t xml:space="preserve"> </w:t>
      </w:r>
      <w:r>
        <w:rPr>
          <w:rFonts w:cs="Times New Roman"/>
        </w:rPr>
        <w:t>no tratamento da obesidade tem dose de</w:t>
      </w:r>
      <w:r w:rsidR="00C20F5F">
        <w:rPr>
          <w:rFonts w:cs="Times New Roman"/>
        </w:rPr>
        <w:t xml:space="preserve"> </w:t>
      </w:r>
      <w:r w:rsidR="00C20F5F" w:rsidRPr="00613008">
        <w:rPr>
          <w:rFonts w:cs="Times New Roman"/>
        </w:rPr>
        <w:t>3</w:t>
      </w:r>
      <w:r w:rsidR="00C20F5F">
        <w:rPr>
          <w:rFonts w:cs="Times New Roman"/>
        </w:rPr>
        <w:t xml:space="preserve"> </w:t>
      </w:r>
      <w:r w:rsidR="00C20F5F" w:rsidRPr="00613008">
        <w:rPr>
          <w:rFonts w:cs="Times New Roman"/>
        </w:rPr>
        <w:t>mg</w:t>
      </w:r>
      <w:r>
        <w:rPr>
          <w:rFonts w:cs="Times New Roman"/>
        </w:rPr>
        <w:t>. É um a</w:t>
      </w:r>
      <w:r w:rsidR="00613008" w:rsidRPr="00613008">
        <w:rPr>
          <w:rFonts w:cs="Times New Roman"/>
        </w:rPr>
        <w:t xml:space="preserve">nálogo de GLP-1 com 97% de homologia ao GLP-1 humano. Age estimulando a saciedade e inibindo a fome. </w:t>
      </w:r>
      <w:proofErr w:type="spellStart"/>
      <w:r w:rsidR="003F3559">
        <w:rPr>
          <w:rFonts w:cs="Times New Roman"/>
        </w:rPr>
        <w:t>L</w:t>
      </w:r>
      <w:r w:rsidR="00613008" w:rsidRPr="00613008">
        <w:rPr>
          <w:rFonts w:cs="Times New Roman"/>
        </w:rPr>
        <w:t>iraglutida</w:t>
      </w:r>
      <w:proofErr w:type="spellEnd"/>
      <w:r w:rsidR="00613008" w:rsidRPr="00613008">
        <w:rPr>
          <w:rFonts w:cs="Times New Roman"/>
        </w:rPr>
        <w:t xml:space="preserve"> estimula a secreção de insulina, reduz a secreção inapropriadamente alta de glucagon e melhora a função das células beta de forma dependente de glicose, o que resulta em redução da glicemia de jejum e pós-prandial. O mecanismo de redução da glicemia também envolve uma diminuição da velocidade do esvaziamento gástrico</w:t>
      </w:r>
      <w:r w:rsidR="00113A79">
        <w:rPr>
          <w:rFonts w:cs="Times New Roman"/>
        </w:rPr>
        <w:t xml:space="preserve"> (</w:t>
      </w:r>
      <w:r w:rsidR="00113A79" w:rsidRPr="00613008">
        <w:rPr>
          <w:rFonts w:cs="Times New Roman"/>
        </w:rPr>
        <w:t>PI-SUNYER et al., 2015</w:t>
      </w:r>
      <w:r w:rsidR="009C0ED3">
        <w:rPr>
          <w:rFonts w:cs="Times New Roman"/>
        </w:rPr>
        <w:t xml:space="preserve">; </w:t>
      </w:r>
      <w:r w:rsidR="009C0ED3" w:rsidRPr="00613008">
        <w:rPr>
          <w:rFonts w:cs="Times New Roman"/>
        </w:rPr>
        <w:t>WADDEN et al., 2011, 2013</w:t>
      </w:r>
      <w:r w:rsidR="00113A79">
        <w:rPr>
          <w:rFonts w:cs="Times New Roman"/>
        </w:rPr>
        <w:t>)</w:t>
      </w:r>
      <w:r w:rsidR="00613008" w:rsidRPr="00613008">
        <w:rPr>
          <w:rFonts w:cs="Times New Roman"/>
        </w:rPr>
        <w:t>.</w:t>
      </w:r>
    </w:p>
    <w:p w14:paraId="54302010" w14:textId="65B28E73" w:rsidR="00613008" w:rsidRPr="00613008" w:rsidRDefault="00613008" w:rsidP="00613008">
      <w:pPr>
        <w:tabs>
          <w:tab w:val="left" w:pos="686"/>
          <w:tab w:val="left" w:pos="718"/>
        </w:tabs>
        <w:ind w:firstLine="720"/>
        <w:rPr>
          <w:rFonts w:cs="Times New Roman"/>
        </w:rPr>
      </w:pPr>
      <w:r w:rsidRPr="00613008">
        <w:rPr>
          <w:rFonts w:cs="Times New Roman"/>
        </w:rPr>
        <w:t xml:space="preserve">Orientações: uso desta terapia por no mínimo </w:t>
      </w:r>
      <w:r w:rsidR="00FF71B7">
        <w:rPr>
          <w:rFonts w:cs="Times New Roman"/>
        </w:rPr>
        <w:t>três</w:t>
      </w:r>
      <w:r w:rsidRPr="00613008">
        <w:rPr>
          <w:rFonts w:cs="Times New Roman"/>
        </w:rPr>
        <w:t xml:space="preserve"> meses com a dose plena, quando necessário (3,0 mg). A dose de </w:t>
      </w:r>
      <w:proofErr w:type="spellStart"/>
      <w:r w:rsidR="00C20F5F">
        <w:rPr>
          <w:rFonts w:cs="Times New Roman"/>
        </w:rPr>
        <w:t>l</w:t>
      </w:r>
      <w:r w:rsidRPr="00613008">
        <w:rPr>
          <w:rFonts w:cs="Times New Roman"/>
        </w:rPr>
        <w:t>iraglutida</w:t>
      </w:r>
      <w:proofErr w:type="spellEnd"/>
      <w:r w:rsidRPr="00613008">
        <w:rPr>
          <w:rFonts w:cs="Times New Roman"/>
        </w:rPr>
        <w:t xml:space="preserve"> deve ser prescrita de forma escalonada para evitar ou minimizar os possíveis efeitos colaterais de náusea e vômito</w:t>
      </w:r>
      <w:r w:rsidR="00113A79">
        <w:rPr>
          <w:rFonts w:cs="Times New Roman"/>
        </w:rPr>
        <w:t xml:space="preserve"> (</w:t>
      </w:r>
      <w:r w:rsidR="00113A79" w:rsidRPr="00613008">
        <w:rPr>
          <w:rFonts w:cs="Times New Roman"/>
        </w:rPr>
        <w:t>PI-SUNYER et al., 2015</w:t>
      </w:r>
      <w:r w:rsidR="009C0ED3">
        <w:rPr>
          <w:rFonts w:cs="Times New Roman"/>
        </w:rPr>
        <w:t xml:space="preserve">; </w:t>
      </w:r>
      <w:r w:rsidR="009C0ED3" w:rsidRPr="00613008">
        <w:rPr>
          <w:rFonts w:cs="Times New Roman"/>
        </w:rPr>
        <w:t>WADDEN et al., 2011, 2013</w:t>
      </w:r>
      <w:r w:rsidR="00113A79">
        <w:rPr>
          <w:rFonts w:cs="Times New Roman"/>
        </w:rPr>
        <w:t>)</w:t>
      </w:r>
      <w:r w:rsidRPr="00613008">
        <w:rPr>
          <w:rFonts w:cs="Times New Roman"/>
        </w:rPr>
        <w:t>:</w:t>
      </w:r>
    </w:p>
    <w:p w14:paraId="554ADD67" w14:textId="1BEF809D" w:rsidR="00613008" w:rsidRPr="00BD13E9" w:rsidRDefault="00613008" w:rsidP="00BD13E9">
      <w:pPr>
        <w:pStyle w:val="PargrafodaLista"/>
        <w:numPr>
          <w:ilvl w:val="0"/>
          <w:numId w:val="18"/>
        </w:numPr>
        <w:tabs>
          <w:tab w:val="left" w:pos="686"/>
          <w:tab w:val="left" w:pos="718"/>
        </w:tabs>
        <w:ind w:left="0" w:firstLine="0"/>
        <w:rPr>
          <w:rFonts w:cs="Times New Roman"/>
        </w:rPr>
      </w:pPr>
      <w:r w:rsidRPr="00BD13E9">
        <w:rPr>
          <w:rFonts w:cs="Times New Roman"/>
        </w:rPr>
        <w:t xml:space="preserve">Iniciar com </w:t>
      </w:r>
      <w:r w:rsidR="003F3559">
        <w:rPr>
          <w:rFonts w:cs="Times New Roman"/>
        </w:rPr>
        <w:t xml:space="preserve">dose de </w:t>
      </w:r>
      <w:r w:rsidRPr="00BD13E9">
        <w:rPr>
          <w:rFonts w:cs="Times New Roman"/>
        </w:rPr>
        <w:t>0,6 mg e aument</w:t>
      </w:r>
      <w:r w:rsidR="00FF71B7">
        <w:rPr>
          <w:rFonts w:cs="Times New Roman"/>
        </w:rPr>
        <w:t>ar</w:t>
      </w:r>
      <w:r w:rsidRPr="00BD13E9">
        <w:rPr>
          <w:rFonts w:cs="Times New Roman"/>
        </w:rPr>
        <w:t xml:space="preserve"> </w:t>
      </w:r>
      <w:r w:rsidR="003F3559">
        <w:rPr>
          <w:rFonts w:cs="Times New Roman"/>
        </w:rPr>
        <w:t>em</w:t>
      </w:r>
      <w:r w:rsidRPr="00BD13E9">
        <w:rPr>
          <w:rFonts w:cs="Times New Roman"/>
        </w:rPr>
        <w:t xml:space="preserve"> </w:t>
      </w:r>
      <w:r w:rsidR="00FF71B7">
        <w:rPr>
          <w:rFonts w:cs="Times New Roman"/>
        </w:rPr>
        <w:t>0,6</w:t>
      </w:r>
      <w:r w:rsidRPr="00BD13E9">
        <w:rPr>
          <w:rFonts w:cs="Times New Roman"/>
        </w:rPr>
        <w:t xml:space="preserve"> mg</w:t>
      </w:r>
      <w:r w:rsidR="00FF71B7">
        <w:rPr>
          <w:rFonts w:cs="Times New Roman"/>
        </w:rPr>
        <w:t xml:space="preserve"> a cada semana,</w:t>
      </w:r>
      <w:r w:rsidRPr="00BD13E9">
        <w:rPr>
          <w:rFonts w:cs="Times New Roman"/>
        </w:rPr>
        <w:t xml:space="preserve"> até </w:t>
      </w:r>
      <w:r w:rsidR="00FF71B7">
        <w:rPr>
          <w:rFonts w:cs="Times New Roman"/>
        </w:rPr>
        <w:t xml:space="preserve">alcançar a </w:t>
      </w:r>
      <w:r w:rsidRPr="00BD13E9">
        <w:rPr>
          <w:rFonts w:cs="Times New Roman"/>
        </w:rPr>
        <w:t>dose final de 3,0 mg</w:t>
      </w:r>
      <w:r w:rsidR="003F3559">
        <w:rPr>
          <w:rFonts w:cs="Times New Roman"/>
        </w:rPr>
        <w:t xml:space="preserve"> na quinta semanas</w:t>
      </w:r>
      <w:r w:rsidRPr="00BD13E9">
        <w:rPr>
          <w:rFonts w:cs="Times New Roman"/>
        </w:rPr>
        <w:t>.</w:t>
      </w:r>
    </w:p>
    <w:p w14:paraId="341C9F38" w14:textId="77777777" w:rsidR="00613008" w:rsidRPr="00BD13E9" w:rsidRDefault="00613008" w:rsidP="00BD13E9">
      <w:pPr>
        <w:pStyle w:val="PargrafodaLista"/>
        <w:numPr>
          <w:ilvl w:val="0"/>
          <w:numId w:val="18"/>
        </w:numPr>
        <w:tabs>
          <w:tab w:val="left" w:pos="686"/>
          <w:tab w:val="left" w:pos="718"/>
        </w:tabs>
        <w:ind w:left="0" w:firstLine="0"/>
        <w:rPr>
          <w:rFonts w:cs="Times New Roman"/>
        </w:rPr>
      </w:pPr>
      <w:proofErr w:type="spellStart"/>
      <w:r w:rsidRPr="00BD13E9">
        <w:rPr>
          <w:rFonts w:cs="Times New Roman"/>
        </w:rPr>
        <w:t>Liraglutida</w:t>
      </w:r>
      <w:proofErr w:type="spellEnd"/>
      <w:r w:rsidRPr="00BD13E9">
        <w:rPr>
          <w:rFonts w:cs="Times New Roman"/>
        </w:rPr>
        <w:t xml:space="preserve"> pode ser associada com quaisquer outros tratamentos antiobesidade devido aos mecanismos farmacológicos da droga em questão.</w:t>
      </w:r>
    </w:p>
    <w:p w14:paraId="302DFC97" w14:textId="49150946" w:rsidR="00D909AD" w:rsidRPr="00BD13E9" w:rsidRDefault="00613008" w:rsidP="00BD13E9">
      <w:pPr>
        <w:pStyle w:val="PargrafodaLista"/>
        <w:numPr>
          <w:ilvl w:val="0"/>
          <w:numId w:val="18"/>
        </w:numPr>
        <w:tabs>
          <w:tab w:val="left" w:pos="686"/>
          <w:tab w:val="left" w:pos="718"/>
        </w:tabs>
        <w:ind w:left="0" w:firstLine="0"/>
        <w:rPr>
          <w:rFonts w:cs="Times New Roman"/>
        </w:rPr>
      </w:pPr>
      <w:r w:rsidRPr="00BD13E9">
        <w:rPr>
          <w:rFonts w:cs="Times New Roman"/>
        </w:rPr>
        <w:t>Quando não há tolerância no incremento da dose acima de 1,8mg, deverá ser mantida a medicação na dose de 1,8 mg até o final do período mínimo de tratamento.</w:t>
      </w:r>
    </w:p>
    <w:p w14:paraId="1EE4F001" w14:textId="015824A6" w:rsidR="003864DA" w:rsidRDefault="003864DA" w:rsidP="003864DA">
      <w:pPr>
        <w:pStyle w:val="Ttulo2"/>
      </w:pPr>
      <w:r>
        <w:t>6.</w:t>
      </w:r>
      <w:r w:rsidR="009E5608">
        <w:t>2</w:t>
      </w:r>
      <w:r>
        <w:t xml:space="preserve"> </w:t>
      </w:r>
      <w:r w:rsidR="009E5608" w:rsidRPr="009E5608">
        <w:t>Centros de Tratamento (Centros Especializados de Referência)</w:t>
      </w:r>
    </w:p>
    <w:p w14:paraId="4FD82AA8" w14:textId="7B86DED2" w:rsidR="003864DA" w:rsidRDefault="00613008" w:rsidP="003864DA">
      <w:pPr>
        <w:tabs>
          <w:tab w:val="left" w:pos="686"/>
          <w:tab w:val="left" w:pos="718"/>
        </w:tabs>
        <w:ind w:firstLine="720"/>
        <w:rPr>
          <w:rFonts w:cs="Times New Roman"/>
        </w:rPr>
      </w:pPr>
      <w:r w:rsidRPr="00613008">
        <w:rPr>
          <w:rFonts w:cs="Times New Roman"/>
        </w:rPr>
        <w:t>Os pacientes elegíveis para o tratamento serão encaminhados para Centro</w:t>
      </w:r>
      <w:r w:rsidR="00BD42FB">
        <w:rPr>
          <w:rFonts w:cs="Times New Roman"/>
        </w:rPr>
        <w:t>s</w:t>
      </w:r>
      <w:r w:rsidRPr="00613008">
        <w:rPr>
          <w:rFonts w:cs="Times New Roman"/>
        </w:rPr>
        <w:t xml:space="preserve"> Especializado</w:t>
      </w:r>
      <w:r w:rsidR="00BD42FB">
        <w:rPr>
          <w:rFonts w:cs="Times New Roman"/>
        </w:rPr>
        <w:t>s</w:t>
      </w:r>
      <w:r w:rsidRPr="00613008">
        <w:rPr>
          <w:rFonts w:cs="Times New Roman"/>
        </w:rPr>
        <w:t xml:space="preserve"> de Referência</w:t>
      </w:r>
      <w:r w:rsidR="00BD42FB">
        <w:rPr>
          <w:rFonts w:cs="Times New Roman"/>
        </w:rPr>
        <w:t xml:space="preserve"> estaduais</w:t>
      </w:r>
      <w:r w:rsidR="00DF0EDD">
        <w:rPr>
          <w:rFonts w:cs="Times New Roman"/>
        </w:rPr>
        <w:t xml:space="preserve"> do SUS</w:t>
      </w:r>
      <w:r w:rsidR="00BD42FB">
        <w:rPr>
          <w:rFonts w:cs="Times New Roman"/>
        </w:rPr>
        <w:t xml:space="preserve">, como o </w:t>
      </w:r>
      <w:r w:rsidRPr="00613008">
        <w:rPr>
          <w:rFonts w:cs="Times New Roman"/>
        </w:rPr>
        <w:t xml:space="preserve">Ambulatório de Endocrinologia do Hospital Geral de Goiânia Alberto </w:t>
      </w:r>
      <w:proofErr w:type="spellStart"/>
      <w:r w:rsidRPr="00613008">
        <w:rPr>
          <w:rFonts w:cs="Times New Roman"/>
        </w:rPr>
        <w:t>Rassi</w:t>
      </w:r>
      <w:proofErr w:type="spellEnd"/>
      <w:r w:rsidR="00BD42FB">
        <w:rPr>
          <w:rFonts w:cs="Times New Roman"/>
        </w:rPr>
        <w:t>, Hospital Estadual de Dermatologia Sanitária, Policlínicas, entre outros,</w:t>
      </w:r>
      <w:r w:rsidR="00B760AE" w:rsidRPr="00613008">
        <w:rPr>
          <w:rFonts w:cs="Times New Roman"/>
        </w:rPr>
        <w:t xml:space="preserve"> </w:t>
      </w:r>
      <w:r w:rsidRPr="00613008">
        <w:rPr>
          <w:rFonts w:cs="Times New Roman"/>
        </w:rPr>
        <w:t xml:space="preserve">onde serão avaliados por equipe multidisciplinar especializada e </w:t>
      </w:r>
      <w:r w:rsidRPr="00613008">
        <w:rPr>
          <w:rFonts w:cs="Times New Roman"/>
        </w:rPr>
        <w:lastRenderedPageBreak/>
        <w:t xml:space="preserve">acompanhados </w:t>
      </w:r>
      <w:r w:rsidR="00756F8D">
        <w:rPr>
          <w:rFonts w:cs="Times New Roman"/>
        </w:rPr>
        <w:t>ao longo</w:t>
      </w:r>
      <w:r w:rsidRPr="00613008">
        <w:rPr>
          <w:rFonts w:cs="Times New Roman"/>
        </w:rPr>
        <w:t xml:space="preserve"> de </w:t>
      </w:r>
      <w:r w:rsidR="00756F8D">
        <w:rPr>
          <w:rFonts w:cs="Times New Roman"/>
        </w:rPr>
        <w:t xml:space="preserve">todo o </w:t>
      </w:r>
      <w:r w:rsidRPr="00613008">
        <w:rPr>
          <w:rFonts w:cs="Times New Roman"/>
        </w:rPr>
        <w:t>tratamento.</w:t>
      </w:r>
    </w:p>
    <w:p w14:paraId="32E95622" w14:textId="0B332324" w:rsidR="003864DA" w:rsidRDefault="003864DA" w:rsidP="003864DA">
      <w:pPr>
        <w:pStyle w:val="Ttulo2"/>
      </w:pPr>
      <w:r>
        <w:t>6.</w:t>
      </w:r>
      <w:r w:rsidR="00613008">
        <w:t>3</w:t>
      </w:r>
      <w:r>
        <w:t xml:space="preserve"> </w:t>
      </w:r>
      <w:r w:rsidR="009E5608" w:rsidRPr="009E5608">
        <w:t>Dispensação d</w:t>
      </w:r>
      <w:r w:rsidR="008A7ED2">
        <w:t>o</w:t>
      </w:r>
      <w:r w:rsidR="009E5608" w:rsidRPr="009E5608">
        <w:t xml:space="preserve"> medica</w:t>
      </w:r>
      <w:r w:rsidR="008A7ED2">
        <w:t>mento</w:t>
      </w:r>
      <w:r w:rsidR="009E5608" w:rsidRPr="009E5608">
        <w:t>, monitorização e fluxo</w:t>
      </w:r>
    </w:p>
    <w:p w14:paraId="550309B5" w14:textId="57697DB6" w:rsidR="00F074D0" w:rsidRDefault="00613008" w:rsidP="00F074D0">
      <w:r w:rsidRPr="00613008">
        <w:t xml:space="preserve">Os pacientes elegíveis para tratamento deverão passar por consulta com profissional farmacêutico, na CEMAC Juarez Barbosa, CEMAC Pirineus e Policlínicas, com objetivo de orientação sobre titulação e aplicação da medicação; mensuração do peso e da cintura abdominal e registro dos dados. A cada mês, os pacientes serão monitorados quando à perda de peso e redução das medidas de cintura abdominal. Em caso de falha de tratamento, definida como ausência de perda de peso a partir do terceiro mês, </w:t>
      </w:r>
      <w:r w:rsidR="00826AE3">
        <w:t xml:space="preserve">o tratamento será interrompido e </w:t>
      </w:r>
      <w:r w:rsidRPr="00613008">
        <w:t>nova avaliação médica deverá ser agendada para reavaliação</w:t>
      </w:r>
      <w:r w:rsidR="008F1279">
        <w:t>.</w:t>
      </w:r>
    </w:p>
    <w:p w14:paraId="7BCAD374" w14:textId="186F0127" w:rsidR="006D2D30" w:rsidRDefault="00442F55" w:rsidP="00F074D0">
      <w:pPr>
        <w:pStyle w:val="Ttulo1"/>
      </w:pPr>
      <w:r>
        <w:t>7</w:t>
      </w:r>
      <w:r w:rsidR="006D2D30">
        <w:t xml:space="preserve"> </w:t>
      </w:r>
      <w:r w:rsidR="003864DA">
        <w:t>Tempo de</w:t>
      </w:r>
      <w:r>
        <w:t xml:space="preserve"> TRATAMENTO</w:t>
      </w:r>
      <w:r w:rsidR="00AB0BC3">
        <w:t xml:space="preserve"> medicamentoso</w:t>
      </w:r>
    </w:p>
    <w:p w14:paraId="2CD724AF" w14:textId="600EA297" w:rsidR="00442F55" w:rsidRDefault="00F074D0" w:rsidP="001D3883">
      <w:pPr>
        <w:rPr>
          <w:rFonts w:cs="Times New Roman"/>
        </w:rPr>
      </w:pPr>
      <w:r w:rsidRPr="00F074D0">
        <w:rPr>
          <w:rFonts w:cs="Times New Roman"/>
        </w:rPr>
        <w:t xml:space="preserve">Tratamento </w:t>
      </w:r>
      <w:r w:rsidR="00AB0BC3">
        <w:rPr>
          <w:rFonts w:cs="Times New Roman"/>
        </w:rPr>
        <w:t xml:space="preserve">medicamentoso deve ser </w:t>
      </w:r>
      <w:r w:rsidR="004A10CC">
        <w:rPr>
          <w:rFonts w:cs="Times New Roman"/>
        </w:rPr>
        <w:t>de 24 meses</w:t>
      </w:r>
      <w:r w:rsidR="00AB0BC3">
        <w:rPr>
          <w:rFonts w:cs="Times New Roman"/>
        </w:rPr>
        <w:t>, no máximo</w:t>
      </w:r>
      <w:r w:rsidR="004A10CC">
        <w:rPr>
          <w:rFonts w:cs="Times New Roman"/>
        </w:rPr>
        <w:t>, sendo</w:t>
      </w:r>
      <w:r w:rsidRPr="00F074D0">
        <w:rPr>
          <w:rFonts w:cs="Times New Roman"/>
        </w:rPr>
        <w:t xml:space="preserve"> 12 meses</w:t>
      </w:r>
      <w:r w:rsidR="004A10CC">
        <w:rPr>
          <w:rFonts w:cs="Times New Roman"/>
        </w:rPr>
        <w:t xml:space="preserve"> na fase de perda de peso e mais 12 meses na fase de manutenção da perda de peso</w:t>
      </w:r>
      <w:r w:rsidRPr="00F074D0">
        <w:rPr>
          <w:rFonts w:cs="Times New Roman"/>
        </w:rPr>
        <w:t>.</w:t>
      </w:r>
      <w:r w:rsidR="00AB0BC3">
        <w:rPr>
          <w:rFonts w:cs="Times New Roman"/>
        </w:rPr>
        <w:t xml:space="preserve"> O tratamento não medicamentoso, de modificação do estilo de vida, pode ser continuado por tempo indeterminado.</w:t>
      </w:r>
    </w:p>
    <w:p w14:paraId="200867A2" w14:textId="5AF4AC85" w:rsidR="00442F55" w:rsidRDefault="00442F55" w:rsidP="00F074D0">
      <w:pPr>
        <w:pStyle w:val="Ttulo1"/>
      </w:pPr>
      <w:r>
        <w:t>8 MONITORIZAÇÃO</w:t>
      </w:r>
    </w:p>
    <w:p w14:paraId="0A23FFA1" w14:textId="77777777" w:rsidR="00BD13E9" w:rsidRPr="00BD13E9" w:rsidRDefault="00BD13E9" w:rsidP="00BD13E9">
      <w:pPr>
        <w:pStyle w:val="Ttulo2"/>
      </w:pPr>
      <w:r w:rsidRPr="00BD13E9">
        <w:t>8.1 Critérios de continuidade</w:t>
      </w:r>
    </w:p>
    <w:p w14:paraId="2CF28976" w14:textId="5DF27334" w:rsidR="004E1F29" w:rsidRDefault="004E1F29" w:rsidP="004E1F29">
      <w:pPr>
        <w:tabs>
          <w:tab w:val="left" w:pos="686"/>
          <w:tab w:val="left" w:pos="718"/>
        </w:tabs>
        <w:ind w:firstLine="720"/>
        <w:rPr>
          <w:rFonts w:cs="Times New Roman"/>
        </w:rPr>
      </w:pPr>
      <w:r>
        <w:rPr>
          <w:rFonts w:cs="Times New Roman"/>
        </w:rPr>
        <w:t>Após iniciar a terapia medicamentosa</w:t>
      </w:r>
      <w:r w:rsidR="004003EF">
        <w:rPr>
          <w:rFonts w:cs="Times New Roman"/>
        </w:rPr>
        <w:t xml:space="preserve"> em plena dose</w:t>
      </w:r>
      <w:r>
        <w:rPr>
          <w:rFonts w:cs="Times New Roman"/>
        </w:rPr>
        <w:t>, para continuar o tratamento farmacológico, o paciente deve cumprir os seguintes critérios:</w:t>
      </w:r>
    </w:p>
    <w:p w14:paraId="47188F27" w14:textId="64EF65FE" w:rsidR="004E1F29" w:rsidRDefault="00FD75F7" w:rsidP="004E1F29">
      <w:pPr>
        <w:pStyle w:val="PargrafodaLista"/>
        <w:numPr>
          <w:ilvl w:val="0"/>
          <w:numId w:val="18"/>
        </w:numPr>
        <w:tabs>
          <w:tab w:val="left" w:pos="686"/>
          <w:tab w:val="left" w:pos="718"/>
        </w:tabs>
        <w:ind w:left="0" w:firstLine="0"/>
        <w:rPr>
          <w:rFonts w:cs="Times New Roman"/>
        </w:rPr>
      </w:pPr>
      <w:r>
        <w:rPr>
          <w:rFonts w:cs="Times New Roman"/>
        </w:rPr>
        <w:t xml:space="preserve">Após seis meses de tratamento, o paciente </w:t>
      </w:r>
      <w:proofErr w:type="spellStart"/>
      <w:r>
        <w:rPr>
          <w:rFonts w:cs="Times New Roman"/>
        </w:rPr>
        <w:t>pré</w:t>
      </w:r>
      <w:proofErr w:type="spellEnd"/>
      <w:r>
        <w:rPr>
          <w:rFonts w:cs="Times New Roman"/>
        </w:rPr>
        <w:t xml:space="preserve">-obeso com comorbidades deve atingir redução de 3% do peso corporal inicial, pelo mesmo. </w:t>
      </w:r>
      <w:r w:rsidR="00E430C6" w:rsidRPr="004E1F29">
        <w:rPr>
          <w:rFonts w:cs="Times New Roman"/>
        </w:rPr>
        <w:t xml:space="preserve">Após um ano de tratamento, o </w:t>
      </w:r>
      <w:r w:rsidR="004E1F29" w:rsidRPr="004E1F29">
        <w:rPr>
          <w:rFonts w:cs="Times New Roman"/>
        </w:rPr>
        <w:t>sujeito</w:t>
      </w:r>
      <w:r w:rsidR="00E430C6" w:rsidRPr="004E1F29">
        <w:rPr>
          <w:rFonts w:cs="Times New Roman"/>
        </w:rPr>
        <w:t xml:space="preserve"> </w:t>
      </w:r>
      <w:proofErr w:type="spellStart"/>
      <w:r w:rsidR="00B90F71">
        <w:rPr>
          <w:rFonts w:cs="Times New Roman"/>
        </w:rPr>
        <w:t>pré</w:t>
      </w:r>
      <w:proofErr w:type="spellEnd"/>
      <w:r w:rsidR="00B90F71">
        <w:rPr>
          <w:rFonts w:cs="Times New Roman"/>
        </w:rPr>
        <w:t xml:space="preserve">-obeso </w:t>
      </w:r>
      <w:r w:rsidR="00E430C6" w:rsidRPr="004E1F29">
        <w:rPr>
          <w:rFonts w:cs="Times New Roman"/>
        </w:rPr>
        <w:t>com comorbidade</w:t>
      </w:r>
      <w:r w:rsidR="004E1F29">
        <w:rPr>
          <w:rFonts w:cs="Times New Roman"/>
        </w:rPr>
        <w:t>s</w:t>
      </w:r>
      <w:r w:rsidR="00E430C6" w:rsidRPr="004E1F29">
        <w:rPr>
          <w:rFonts w:cs="Times New Roman"/>
        </w:rPr>
        <w:t xml:space="preserve"> deve ap</w:t>
      </w:r>
      <w:r w:rsidR="00BD13E9" w:rsidRPr="004E1F29">
        <w:rPr>
          <w:rFonts w:cs="Times New Roman"/>
        </w:rPr>
        <w:t>resentar</w:t>
      </w:r>
      <w:r w:rsidR="00E430C6" w:rsidRPr="004E1F29">
        <w:rPr>
          <w:rFonts w:cs="Times New Roman"/>
        </w:rPr>
        <w:t xml:space="preserve"> p</w:t>
      </w:r>
      <w:r w:rsidR="00BD13E9" w:rsidRPr="004E1F29">
        <w:rPr>
          <w:rFonts w:cs="Times New Roman"/>
        </w:rPr>
        <w:t>erda mínima de</w:t>
      </w:r>
      <w:r w:rsidR="00E430C6" w:rsidRPr="004E1F29">
        <w:rPr>
          <w:rFonts w:cs="Times New Roman"/>
        </w:rPr>
        <w:t xml:space="preserve"> </w:t>
      </w:r>
      <w:r w:rsidR="00BD13E9" w:rsidRPr="004E1F29">
        <w:rPr>
          <w:rFonts w:cs="Times New Roman"/>
        </w:rPr>
        <w:t>5% do peso inicial</w:t>
      </w:r>
      <w:r w:rsidR="00E430C6" w:rsidRPr="004E1F29">
        <w:rPr>
          <w:rFonts w:cs="Times New Roman"/>
        </w:rPr>
        <w:t xml:space="preserve"> e </w:t>
      </w:r>
      <w:r w:rsidR="00BD13E9" w:rsidRPr="004E1F29">
        <w:rPr>
          <w:rFonts w:cs="Times New Roman"/>
        </w:rPr>
        <w:t>controle d</w:t>
      </w:r>
      <w:r w:rsidR="003F2B5C">
        <w:rPr>
          <w:rFonts w:cs="Times New Roman"/>
        </w:rPr>
        <w:t>as</w:t>
      </w:r>
      <w:r w:rsidR="00BD13E9" w:rsidRPr="004E1F29">
        <w:rPr>
          <w:rFonts w:cs="Times New Roman"/>
        </w:rPr>
        <w:t xml:space="preserve"> comorbidades</w:t>
      </w:r>
      <w:r w:rsidR="004E1F29" w:rsidRPr="004E1F29">
        <w:rPr>
          <w:rFonts w:cs="Times New Roman"/>
        </w:rPr>
        <w:t>, comprovado mediante relatório médico</w:t>
      </w:r>
      <w:r w:rsidR="001F0CB3">
        <w:rPr>
          <w:rFonts w:cs="Times New Roman"/>
        </w:rPr>
        <w:t xml:space="preserve"> e exames clínicos</w:t>
      </w:r>
      <w:r w:rsidR="00BD13E9" w:rsidRPr="004E1F29">
        <w:rPr>
          <w:rFonts w:cs="Times New Roman"/>
        </w:rPr>
        <w:t>.</w:t>
      </w:r>
    </w:p>
    <w:p w14:paraId="7CCA48D5" w14:textId="662E7AD7" w:rsidR="00BD13E9" w:rsidRPr="004E1F29" w:rsidRDefault="00E430C6" w:rsidP="004E1F29">
      <w:pPr>
        <w:pStyle w:val="PargrafodaLista"/>
        <w:numPr>
          <w:ilvl w:val="0"/>
          <w:numId w:val="18"/>
        </w:numPr>
        <w:tabs>
          <w:tab w:val="left" w:pos="686"/>
          <w:tab w:val="left" w:pos="718"/>
        </w:tabs>
        <w:ind w:left="0" w:firstLine="0"/>
        <w:rPr>
          <w:rFonts w:cs="Times New Roman"/>
        </w:rPr>
      </w:pPr>
      <w:r w:rsidRPr="004E1F29">
        <w:rPr>
          <w:rFonts w:cs="Times New Roman"/>
        </w:rPr>
        <w:t xml:space="preserve">Após </w:t>
      </w:r>
      <w:r w:rsidR="004E1F29" w:rsidRPr="004E1F29">
        <w:rPr>
          <w:rFonts w:cs="Times New Roman"/>
        </w:rPr>
        <w:t xml:space="preserve">seis meses de tratamento, o paciente </w:t>
      </w:r>
      <w:r w:rsidR="00B90F71">
        <w:rPr>
          <w:rFonts w:cs="Times New Roman"/>
        </w:rPr>
        <w:t>obeso</w:t>
      </w:r>
      <w:r w:rsidR="009F00CB">
        <w:rPr>
          <w:rFonts w:cs="Times New Roman"/>
        </w:rPr>
        <w:t xml:space="preserve"> (classe I, II ou III)</w:t>
      </w:r>
      <w:r w:rsidR="00B90F71">
        <w:rPr>
          <w:rFonts w:cs="Times New Roman"/>
        </w:rPr>
        <w:t xml:space="preserve"> </w:t>
      </w:r>
      <w:r w:rsidR="004E1F29" w:rsidRPr="004E1F29">
        <w:rPr>
          <w:rFonts w:cs="Times New Roman"/>
        </w:rPr>
        <w:t>deve atingir redução de 5% do peso corporal, pelo me</w:t>
      </w:r>
      <w:r w:rsidR="00B90F71">
        <w:rPr>
          <w:rFonts w:cs="Times New Roman"/>
        </w:rPr>
        <w:t>no</w:t>
      </w:r>
      <w:r w:rsidR="004E1F29" w:rsidRPr="004E1F29">
        <w:rPr>
          <w:rFonts w:cs="Times New Roman"/>
        </w:rPr>
        <w:t xml:space="preserve">s. Após </w:t>
      </w:r>
      <w:r w:rsidRPr="004E1F29">
        <w:rPr>
          <w:rFonts w:cs="Times New Roman"/>
        </w:rPr>
        <w:t xml:space="preserve">um ano de tratamento, o paciente </w:t>
      </w:r>
      <w:r w:rsidR="0038441C">
        <w:rPr>
          <w:rFonts w:cs="Times New Roman"/>
        </w:rPr>
        <w:t>obeso</w:t>
      </w:r>
      <w:r w:rsidR="009F00CB">
        <w:rPr>
          <w:rFonts w:cs="Times New Roman"/>
        </w:rPr>
        <w:t xml:space="preserve"> (classe I, II ou III) </w:t>
      </w:r>
      <w:r w:rsidRPr="004E1F29">
        <w:rPr>
          <w:rFonts w:cs="Times New Roman"/>
        </w:rPr>
        <w:t>deve apresentar p</w:t>
      </w:r>
      <w:r w:rsidR="00BD13E9" w:rsidRPr="004E1F29">
        <w:rPr>
          <w:rFonts w:cs="Times New Roman"/>
        </w:rPr>
        <w:t>erda maior ou igual a 10% do peso corporal inicial.</w:t>
      </w:r>
    </w:p>
    <w:p w14:paraId="30BE1C87" w14:textId="344135E0" w:rsidR="00BD13E9" w:rsidRPr="00BD13E9" w:rsidRDefault="00BD13E9" w:rsidP="00BD13E9">
      <w:pPr>
        <w:tabs>
          <w:tab w:val="left" w:pos="686"/>
          <w:tab w:val="left" w:pos="718"/>
        </w:tabs>
        <w:ind w:firstLine="720"/>
        <w:rPr>
          <w:rFonts w:cs="Times New Roman"/>
        </w:rPr>
      </w:pPr>
      <w:r w:rsidRPr="004D57E4">
        <w:rPr>
          <w:rFonts w:cs="Times New Roman"/>
          <w:b/>
          <w:bCs/>
        </w:rPr>
        <w:lastRenderedPageBreak/>
        <w:t>Nota</w:t>
      </w:r>
      <w:r w:rsidR="004D57E4" w:rsidRPr="004D57E4">
        <w:rPr>
          <w:rFonts w:cs="Times New Roman"/>
          <w:b/>
          <w:bCs/>
        </w:rPr>
        <w:t>:</w:t>
      </w:r>
      <w:r w:rsidRPr="00BD13E9">
        <w:rPr>
          <w:rFonts w:cs="Times New Roman"/>
        </w:rPr>
        <w:t xml:space="preserve"> </w:t>
      </w:r>
      <w:r w:rsidR="004D57E4">
        <w:rPr>
          <w:rFonts w:cs="Times New Roman"/>
        </w:rPr>
        <w:t>c</w:t>
      </w:r>
      <w:r w:rsidRPr="00BD13E9">
        <w:rPr>
          <w:rFonts w:cs="Times New Roman"/>
        </w:rPr>
        <w:t xml:space="preserve">aso o paciente </w:t>
      </w:r>
      <w:r w:rsidR="008D32B8">
        <w:rPr>
          <w:rFonts w:cs="Times New Roman"/>
        </w:rPr>
        <w:t>obeso</w:t>
      </w:r>
      <w:r w:rsidR="00097E23">
        <w:rPr>
          <w:rFonts w:cs="Times New Roman"/>
        </w:rPr>
        <w:t xml:space="preserve"> (classe I, II ou III) </w:t>
      </w:r>
      <w:r w:rsidR="008D32B8">
        <w:rPr>
          <w:rFonts w:cs="Times New Roman"/>
        </w:rPr>
        <w:t xml:space="preserve">alcance </w:t>
      </w:r>
      <w:r w:rsidRPr="00BD13E9">
        <w:rPr>
          <w:rFonts w:cs="Times New Roman"/>
        </w:rPr>
        <w:t>perda de peso menor que 10% do peso corporal inicial</w:t>
      </w:r>
      <w:r w:rsidR="004E1F29">
        <w:rPr>
          <w:rFonts w:cs="Times New Roman"/>
        </w:rPr>
        <w:t>, após um ano de terapia,</w:t>
      </w:r>
      <w:r w:rsidRPr="00BD13E9">
        <w:rPr>
          <w:rFonts w:cs="Times New Roman"/>
        </w:rPr>
        <w:t xml:space="preserve"> o tratamento </w:t>
      </w:r>
      <w:r w:rsidR="004E1F29">
        <w:rPr>
          <w:rFonts w:cs="Times New Roman"/>
        </w:rPr>
        <w:t xml:space="preserve">farmacológico </w:t>
      </w:r>
      <w:r w:rsidRPr="00BD13E9">
        <w:rPr>
          <w:rFonts w:cs="Times New Roman"/>
        </w:rPr>
        <w:t>deve ser descontinuado</w:t>
      </w:r>
      <w:r w:rsidR="004E1F29">
        <w:rPr>
          <w:rFonts w:cs="Times New Roman"/>
        </w:rPr>
        <w:t xml:space="preserve"> e outras terapias devem ser instituídas, especialmente uma abordagem mais intensiva de modificação do estilo de vida.</w:t>
      </w:r>
      <w:r w:rsidR="004D57E4">
        <w:rPr>
          <w:rFonts w:cs="Times New Roman"/>
        </w:rPr>
        <w:t xml:space="preserve"> O mesmo vale para</w:t>
      </w:r>
      <w:r w:rsidR="00AA6B68">
        <w:rPr>
          <w:rFonts w:cs="Times New Roman"/>
        </w:rPr>
        <w:t xml:space="preserve"> o</w:t>
      </w:r>
      <w:r w:rsidR="004D57E4">
        <w:rPr>
          <w:rFonts w:cs="Times New Roman"/>
        </w:rPr>
        <w:t xml:space="preserve"> paciente </w:t>
      </w:r>
      <w:proofErr w:type="spellStart"/>
      <w:r w:rsidR="009F00CB">
        <w:rPr>
          <w:rFonts w:cs="Times New Roman"/>
        </w:rPr>
        <w:t>pré</w:t>
      </w:r>
      <w:proofErr w:type="spellEnd"/>
      <w:r w:rsidR="009F00CB">
        <w:rPr>
          <w:rFonts w:cs="Times New Roman"/>
        </w:rPr>
        <w:t xml:space="preserve">-obeso </w:t>
      </w:r>
      <w:r w:rsidR="004D57E4">
        <w:rPr>
          <w:rFonts w:cs="Times New Roman"/>
        </w:rPr>
        <w:t>com comorbidades que reduz</w:t>
      </w:r>
      <w:r w:rsidR="008D32B8">
        <w:rPr>
          <w:rFonts w:cs="Times New Roman"/>
        </w:rPr>
        <w:t>a</w:t>
      </w:r>
      <w:r w:rsidR="004D57E4">
        <w:rPr>
          <w:rFonts w:cs="Times New Roman"/>
        </w:rPr>
        <w:t xml:space="preserve"> menos que 5% do peso corporal inicial após um ano de tratamento.</w:t>
      </w:r>
    </w:p>
    <w:p w14:paraId="085935CC" w14:textId="77777777" w:rsidR="00BD13E9" w:rsidRPr="00BD13E9" w:rsidRDefault="00BD13E9" w:rsidP="00BD13E9">
      <w:pPr>
        <w:pStyle w:val="Ttulo2"/>
      </w:pPr>
      <w:r w:rsidRPr="00BD13E9">
        <w:t>8.2 Critérios de interrupção do tratamento</w:t>
      </w:r>
    </w:p>
    <w:p w14:paraId="5E5BBBE5" w14:textId="779F7432" w:rsidR="004E1F29" w:rsidRDefault="004E1F29" w:rsidP="004E1F29">
      <w:pPr>
        <w:tabs>
          <w:tab w:val="left" w:pos="686"/>
          <w:tab w:val="left" w:pos="718"/>
        </w:tabs>
        <w:ind w:firstLine="720"/>
        <w:rPr>
          <w:rFonts w:cs="Times New Roman"/>
        </w:rPr>
      </w:pPr>
      <w:r>
        <w:rPr>
          <w:rFonts w:cs="Times New Roman"/>
        </w:rPr>
        <w:t>Após iniciar a terapia medicamentosa, se o paciente cumprir algum dos seguintes critérios, o tratamento deve ser interrompido:</w:t>
      </w:r>
    </w:p>
    <w:p w14:paraId="6462FB41" w14:textId="0D4166EF" w:rsidR="004E1F29" w:rsidRDefault="004E1F29" w:rsidP="004E1F29">
      <w:pPr>
        <w:pStyle w:val="PargrafodaLista"/>
        <w:numPr>
          <w:ilvl w:val="0"/>
          <w:numId w:val="18"/>
        </w:numPr>
        <w:tabs>
          <w:tab w:val="left" w:pos="686"/>
          <w:tab w:val="left" w:pos="718"/>
        </w:tabs>
        <w:ind w:left="0" w:firstLine="0"/>
        <w:rPr>
          <w:rFonts w:cs="Times New Roman"/>
        </w:rPr>
      </w:pPr>
      <w:r>
        <w:rPr>
          <w:rFonts w:cs="Times New Roman"/>
        </w:rPr>
        <w:t xml:space="preserve">Sofrer eventos </w:t>
      </w:r>
      <w:r w:rsidR="00AF51BE">
        <w:rPr>
          <w:rFonts w:cs="Times New Roman"/>
        </w:rPr>
        <w:t xml:space="preserve">adversos </w:t>
      </w:r>
      <w:r>
        <w:rPr>
          <w:rFonts w:cs="Times New Roman"/>
        </w:rPr>
        <w:t>graves relacionados ao uso do medicamento (hospitalização, incapacitação motora ou mental</w:t>
      </w:r>
      <w:r w:rsidR="004D57E4">
        <w:rPr>
          <w:rFonts w:cs="Times New Roman"/>
        </w:rPr>
        <w:t>, doenças graves).</w:t>
      </w:r>
    </w:p>
    <w:p w14:paraId="22D3EE17" w14:textId="48E71FEA" w:rsidR="004D57E4" w:rsidRDefault="004D57E4" w:rsidP="004E1F29">
      <w:pPr>
        <w:pStyle w:val="PargrafodaLista"/>
        <w:numPr>
          <w:ilvl w:val="0"/>
          <w:numId w:val="18"/>
        </w:numPr>
        <w:tabs>
          <w:tab w:val="left" w:pos="686"/>
          <w:tab w:val="left" w:pos="718"/>
        </w:tabs>
        <w:ind w:left="0" w:firstLine="0"/>
        <w:rPr>
          <w:rFonts w:cs="Times New Roman"/>
        </w:rPr>
      </w:pPr>
      <w:r w:rsidRPr="004D57E4">
        <w:rPr>
          <w:rFonts w:cs="Times New Roman"/>
        </w:rPr>
        <w:t xml:space="preserve">Apresentar </w:t>
      </w:r>
      <w:r w:rsidR="00AF51BE">
        <w:rPr>
          <w:rFonts w:cs="Times New Roman"/>
        </w:rPr>
        <w:t>eventos adversos (efeitos colaterais)</w:t>
      </w:r>
      <w:r w:rsidR="004E1F29" w:rsidRPr="004D57E4">
        <w:rPr>
          <w:rFonts w:cs="Times New Roman"/>
        </w:rPr>
        <w:t xml:space="preserve"> </w:t>
      </w:r>
      <w:r>
        <w:rPr>
          <w:rFonts w:cs="Times New Roman"/>
        </w:rPr>
        <w:t>leves ou moderados que não respondem a ajustes de dose ou medicamentos coadjuvantes.</w:t>
      </w:r>
    </w:p>
    <w:p w14:paraId="30991E5D" w14:textId="77777777" w:rsidR="004D57E4" w:rsidRDefault="004D57E4" w:rsidP="004D57E4">
      <w:pPr>
        <w:pStyle w:val="PargrafodaLista"/>
        <w:numPr>
          <w:ilvl w:val="0"/>
          <w:numId w:val="18"/>
        </w:numPr>
        <w:tabs>
          <w:tab w:val="left" w:pos="686"/>
          <w:tab w:val="left" w:pos="718"/>
        </w:tabs>
        <w:ind w:left="0" w:firstLine="0"/>
        <w:rPr>
          <w:rFonts w:cs="Times New Roman"/>
        </w:rPr>
      </w:pPr>
      <w:r>
        <w:rPr>
          <w:rFonts w:cs="Times New Roman"/>
        </w:rPr>
        <w:t>Sofrer</w:t>
      </w:r>
      <w:r w:rsidR="004E1F29">
        <w:rPr>
          <w:rFonts w:cs="Times New Roman"/>
        </w:rPr>
        <w:t xml:space="preserve"> </w:t>
      </w:r>
      <w:r w:rsidR="004E1F29" w:rsidRPr="004E1F29">
        <w:rPr>
          <w:rFonts w:cs="Times New Roman"/>
        </w:rPr>
        <w:t>efeitos de intolerância</w:t>
      </w:r>
      <w:r w:rsidR="004E1F29">
        <w:rPr>
          <w:rFonts w:cs="Times New Roman"/>
        </w:rPr>
        <w:t xml:space="preserve"> ao fármaco.</w:t>
      </w:r>
    </w:p>
    <w:p w14:paraId="1360784C" w14:textId="65C02048" w:rsidR="004D57E4" w:rsidRDefault="004D57E4" w:rsidP="004D57E4">
      <w:pPr>
        <w:pStyle w:val="PargrafodaLista"/>
        <w:numPr>
          <w:ilvl w:val="0"/>
          <w:numId w:val="18"/>
        </w:numPr>
        <w:tabs>
          <w:tab w:val="left" w:pos="686"/>
          <w:tab w:val="left" w:pos="718"/>
        </w:tabs>
        <w:ind w:left="0" w:firstLine="0"/>
        <w:rPr>
          <w:rFonts w:cs="Times New Roman"/>
        </w:rPr>
      </w:pPr>
      <w:r w:rsidRPr="004D57E4">
        <w:rPr>
          <w:rFonts w:cs="Times New Roman"/>
        </w:rPr>
        <w:t>Se</w:t>
      </w:r>
      <w:r w:rsidR="004E1F29" w:rsidRPr="004D57E4">
        <w:rPr>
          <w:rFonts w:cs="Times New Roman"/>
        </w:rPr>
        <w:t xml:space="preserve"> enquadrar em critérios de exclusão</w:t>
      </w:r>
      <w:r w:rsidRPr="004D57E4">
        <w:rPr>
          <w:rFonts w:cs="Times New Roman"/>
        </w:rPr>
        <w:t xml:space="preserve"> (tornar-se gestante ou lactante, sofrer cirurgia bariátrica, pancreatite aguda, pancreatite crônica ou carcinoma medular da tireoide)</w:t>
      </w:r>
      <w:r w:rsidR="00EE3686">
        <w:rPr>
          <w:rFonts w:cs="Times New Roman"/>
        </w:rPr>
        <w:t>.</w:t>
      </w:r>
    </w:p>
    <w:p w14:paraId="16A366EA" w14:textId="1A03A521" w:rsidR="00AF51BE" w:rsidRDefault="00AF51BE" w:rsidP="004D57E4">
      <w:pPr>
        <w:pStyle w:val="PargrafodaLista"/>
        <w:numPr>
          <w:ilvl w:val="0"/>
          <w:numId w:val="18"/>
        </w:numPr>
        <w:tabs>
          <w:tab w:val="left" w:pos="686"/>
          <w:tab w:val="left" w:pos="718"/>
        </w:tabs>
        <w:ind w:left="0" w:firstLine="0"/>
        <w:rPr>
          <w:rFonts w:cs="Times New Roman"/>
        </w:rPr>
      </w:pPr>
      <w:r>
        <w:rPr>
          <w:rFonts w:cs="Times New Roman"/>
        </w:rPr>
        <w:t xml:space="preserve">Não perder peso após </w:t>
      </w:r>
      <w:r w:rsidR="001A6E93">
        <w:rPr>
          <w:rFonts w:cs="Times New Roman"/>
        </w:rPr>
        <w:t>três</w:t>
      </w:r>
      <w:r>
        <w:rPr>
          <w:rFonts w:cs="Times New Roman"/>
        </w:rPr>
        <w:t xml:space="preserve"> meses de tratamento</w:t>
      </w:r>
      <w:r w:rsidR="003960F3">
        <w:rPr>
          <w:rFonts w:cs="Times New Roman"/>
        </w:rPr>
        <w:t xml:space="preserve"> em plena dose do medicamento</w:t>
      </w:r>
      <w:r>
        <w:rPr>
          <w:rFonts w:cs="Times New Roman"/>
        </w:rPr>
        <w:t>.</w:t>
      </w:r>
    </w:p>
    <w:p w14:paraId="24DC81A4" w14:textId="446DBA05" w:rsidR="00BD13E9" w:rsidRDefault="00BD13E9" w:rsidP="00BD13E9">
      <w:pPr>
        <w:tabs>
          <w:tab w:val="left" w:pos="686"/>
          <w:tab w:val="left" w:pos="718"/>
        </w:tabs>
        <w:ind w:firstLine="720"/>
        <w:rPr>
          <w:rFonts w:cs="Times New Roman"/>
        </w:rPr>
      </w:pPr>
      <w:r w:rsidRPr="004D57E4">
        <w:rPr>
          <w:rFonts w:cs="Times New Roman"/>
          <w:b/>
          <w:bCs/>
        </w:rPr>
        <w:t>Nota:</w:t>
      </w:r>
      <w:r w:rsidRPr="00BD13E9">
        <w:rPr>
          <w:rFonts w:cs="Times New Roman"/>
        </w:rPr>
        <w:t xml:space="preserve"> consider</w:t>
      </w:r>
      <w:r w:rsidR="004D57E4">
        <w:rPr>
          <w:rFonts w:cs="Times New Roman"/>
        </w:rPr>
        <w:t>e</w:t>
      </w:r>
      <w:r w:rsidRPr="00BD13E9">
        <w:rPr>
          <w:rFonts w:cs="Times New Roman"/>
        </w:rPr>
        <w:t xml:space="preserve"> discutir com o paciente sobre tratamento cirúrgico da obesidade e outras opções específicas de tratamento.</w:t>
      </w:r>
    </w:p>
    <w:p w14:paraId="6E584D95" w14:textId="26676B46" w:rsidR="00BB344D" w:rsidRDefault="00442F55" w:rsidP="00F074D0">
      <w:pPr>
        <w:pStyle w:val="Ttulo1"/>
      </w:pPr>
      <w:r>
        <w:t>9</w:t>
      </w:r>
      <w:r w:rsidR="00BB344D">
        <w:t xml:space="preserve"> REFERÊNCIAS</w:t>
      </w:r>
    </w:p>
    <w:p w14:paraId="610B7063" w14:textId="77777777" w:rsidR="00070E87" w:rsidRPr="006270CF" w:rsidRDefault="00070E87" w:rsidP="00070E87">
      <w:pPr>
        <w:spacing w:after="240" w:line="240" w:lineRule="auto"/>
        <w:ind w:left="-11" w:firstLine="0"/>
        <w:jc w:val="left"/>
        <w:rPr>
          <w:rFonts w:cs="Times New Roman"/>
          <w:color w:val="auto"/>
          <w:sz w:val="20"/>
          <w:szCs w:val="20"/>
        </w:rPr>
      </w:pPr>
      <w:r w:rsidRPr="006270CF">
        <w:rPr>
          <w:rFonts w:cs="Times New Roman"/>
          <w:color w:val="auto"/>
          <w:sz w:val="20"/>
          <w:szCs w:val="20"/>
        </w:rPr>
        <w:t xml:space="preserve">ASSOCIAÇÃO BRASILEIRA PARA O ESTUDO DA OBESIDADE E DA SÍNDROME METABÓLICA. </w:t>
      </w:r>
      <w:r w:rsidRPr="006270CF">
        <w:rPr>
          <w:rFonts w:cs="Times New Roman"/>
          <w:b/>
          <w:bCs/>
          <w:color w:val="auto"/>
          <w:sz w:val="20"/>
          <w:szCs w:val="20"/>
        </w:rPr>
        <w:t>Diretrizes Brasileiras de Obesidade 2016</w:t>
      </w:r>
      <w:r w:rsidRPr="006270CF">
        <w:rPr>
          <w:rFonts w:cs="Times New Roman"/>
          <w:color w:val="auto"/>
          <w:sz w:val="20"/>
          <w:szCs w:val="20"/>
        </w:rPr>
        <w:t xml:space="preserve">. 4.ed. São Paulo: Associação Brasileira para o Estudo da Obesidade e da Síndrome Metabólica/ ABESO, 2016. Disponível em: </w:t>
      </w:r>
      <w:hyperlink r:id="rId8" w:history="1">
        <w:r w:rsidRPr="006270CF">
          <w:rPr>
            <w:rStyle w:val="Hyperlink"/>
            <w:rFonts w:cs="Times New Roman"/>
            <w:sz w:val="20"/>
            <w:szCs w:val="20"/>
          </w:rPr>
          <w:t>https://abeso.org.br/wp-content/uploads/2019/12/Diretrizes-Download-Diretrizes-Brasileiras-de-Obesidade-2016.pdf</w:t>
        </w:r>
      </w:hyperlink>
      <w:r w:rsidRPr="006270CF">
        <w:rPr>
          <w:rFonts w:cs="Times New Roman"/>
          <w:color w:val="auto"/>
          <w:sz w:val="20"/>
          <w:szCs w:val="20"/>
        </w:rPr>
        <w:t>.</w:t>
      </w:r>
    </w:p>
    <w:p w14:paraId="0EE37037" w14:textId="77777777" w:rsidR="00070E87" w:rsidRPr="006270CF" w:rsidRDefault="00070E87" w:rsidP="00070E87">
      <w:pPr>
        <w:spacing w:after="240" w:line="240" w:lineRule="auto"/>
        <w:ind w:left="-11" w:firstLine="0"/>
        <w:jc w:val="left"/>
        <w:rPr>
          <w:rFonts w:cs="Times New Roman"/>
          <w:color w:val="auto"/>
          <w:sz w:val="20"/>
          <w:szCs w:val="20"/>
        </w:rPr>
      </w:pPr>
      <w:r w:rsidRPr="006270CF">
        <w:rPr>
          <w:rFonts w:cs="Times New Roman"/>
          <w:color w:val="auto"/>
          <w:sz w:val="20"/>
          <w:szCs w:val="20"/>
        </w:rPr>
        <w:t xml:space="preserve">BRASIL. Ministério da Saúde. Secretaria de Vigilância em Saúde. Departamento de Análise em Saúde e Vigilância de Doenças Não Transmissíveis. </w:t>
      </w:r>
      <w:proofErr w:type="spellStart"/>
      <w:r w:rsidRPr="006270CF">
        <w:rPr>
          <w:rFonts w:cs="Times New Roman"/>
          <w:b/>
          <w:bCs/>
          <w:color w:val="auto"/>
          <w:sz w:val="20"/>
          <w:szCs w:val="20"/>
        </w:rPr>
        <w:t>Vigitel</w:t>
      </w:r>
      <w:proofErr w:type="spellEnd"/>
      <w:r w:rsidRPr="006270CF">
        <w:rPr>
          <w:rFonts w:cs="Times New Roman"/>
          <w:b/>
          <w:bCs/>
          <w:color w:val="auto"/>
          <w:sz w:val="20"/>
          <w:szCs w:val="20"/>
        </w:rPr>
        <w:t xml:space="preserve"> Brasil 2019</w:t>
      </w:r>
      <w:r w:rsidRPr="006270CF">
        <w:rPr>
          <w:rFonts w:cs="Times New Roman"/>
          <w:color w:val="auto"/>
          <w:sz w:val="20"/>
          <w:szCs w:val="20"/>
        </w:rPr>
        <w:t xml:space="preserve">. Brasília: Ministério da Saúde, 2019. Disponível em: </w:t>
      </w:r>
      <w:hyperlink r:id="rId9" w:history="1">
        <w:r w:rsidRPr="006270CF">
          <w:rPr>
            <w:rStyle w:val="Hyperlink"/>
            <w:rFonts w:cs="Times New Roman"/>
            <w:sz w:val="20"/>
            <w:szCs w:val="20"/>
          </w:rPr>
          <w:t>https://bvsms.saude.gov.br/bvs/publicacoes/vigitel_brasil_2019_vigilancia_fatores_risco.pdf</w:t>
        </w:r>
      </w:hyperlink>
      <w:r w:rsidRPr="006270CF">
        <w:rPr>
          <w:rFonts w:cs="Times New Roman"/>
          <w:color w:val="auto"/>
          <w:sz w:val="20"/>
          <w:szCs w:val="20"/>
        </w:rPr>
        <w:t>.</w:t>
      </w:r>
    </w:p>
    <w:p w14:paraId="4654B72F" w14:textId="77777777" w:rsidR="00070E87" w:rsidRPr="006270CF" w:rsidRDefault="00070E87" w:rsidP="00070E87">
      <w:pPr>
        <w:spacing w:after="240" w:line="240" w:lineRule="auto"/>
        <w:ind w:left="-11" w:firstLine="0"/>
        <w:jc w:val="left"/>
        <w:rPr>
          <w:rFonts w:cs="Times New Roman"/>
          <w:color w:val="auto"/>
          <w:sz w:val="20"/>
          <w:szCs w:val="20"/>
          <w:lang w:val="en-US"/>
        </w:rPr>
      </w:pPr>
      <w:r w:rsidRPr="006270CF">
        <w:rPr>
          <w:rFonts w:cs="Times New Roman"/>
          <w:color w:val="auto"/>
          <w:sz w:val="20"/>
          <w:szCs w:val="20"/>
          <w:lang w:val="en-US"/>
        </w:rPr>
        <w:t xml:space="preserve">CERCATO, C.; FONSECA, F. A. Cardiovascular Risk and Obesity. </w:t>
      </w:r>
      <w:r w:rsidRPr="006270CF">
        <w:rPr>
          <w:rFonts w:cs="Times New Roman"/>
          <w:b/>
          <w:bCs/>
          <w:color w:val="auto"/>
          <w:sz w:val="20"/>
          <w:szCs w:val="20"/>
          <w:lang w:val="en-US"/>
        </w:rPr>
        <w:t>Diabetology &amp; metabolic syndrome</w:t>
      </w:r>
      <w:r w:rsidRPr="006270CF">
        <w:rPr>
          <w:rFonts w:cs="Times New Roman"/>
          <w:color w:val="auto"/>
          <w:sz w:val="20"/>
          <w:szCs w:val="20"/>
          <w:lang w:val="en-US"/>
        </w:rPr>
        <w:t xml:space="preserve">, London, v. 11, p. 74, 2019. Available in: </w:t>
      </w:r>
      <w:r w:rsidR="000B3CF7">
        <w:fldChar w:fldCharType="begin"/>
      </w:r>
      <w:r w:rsidR="000B3CF7">
        <w:instrText xml:space="preserve"> HYPERLINK "https://doi.org/10.1186/s13098-019-0468-0" </w:instrText>
      </w:r>
      <w:r w:rsidR="000B3CF7">
        <w:fldChar w:fldCharType="separate"/>
      </w:r>
      <w:r w:rsidRPr="006270CF">
        <w:rPr>
          <w:rStyle w:val="Hyperlink"/>
          <w:rFonts w:cs="Times New Roman"/>
          <w:sz w:val="20"/>
          <w:szCs w:val="20"/>
          <w:lang w:val="en-US"/>
        </w:rPr>
        <w:t>https://doi.org/10.1186/s13098-019-0468-0</w:t>
      </w:r>
      <w:r w:rsidR="000B3CF7">
        <w:rPr>
          <w:rStyle w:val="Hyperlink"/>
          <w:rFonts w:cs="Times New Roman"/>
          <w:sz w:val="20"/>
          <w:szCs w:val="20"/>
          <w:lang w:val="en-US"/>
        </w:rPr>
        <w:fldChar w:fldCharType="end"/>
      </w:r>
      <w:r w:rsidRPr="006270CF">
        <w:rPr>
          <w:rFonts w:cs="Times New Roman"/>
          <w:color w:val="auto"/>
          <w:sz w:val="20"/>
          <w:szCs w:val="20"/>
          <w:lang w:val="en-US"/>
        </w:rPr>
        <w:t>.</w:t>
      </w:r>
    </w:p>
    <w:p w14:paraId="3B0471AC" w14:textId="77777777" w:rsidR="00070E87" w:rsidRPr="006270CF" w:rsidRDefault="00070E87" w:rsidP="00070E87">
      <w:pPr>
        <w:spacing w:after="240" w:line="240" w:lineRule="auto"/>
        <w:ind w:left="-11" w:firstLine="0"/>
        <w:jc w:val="left"/>
        <w:rPr>
          <w:rFonts w:cs="Times New Roman"/>
          <w:color w:val="auto"/>
          <w:sz w:val="20"/>
          <w:szCs w:val="20"/>
          <w:lang w:val="en-US"/>
        </w:rPr>
      </w:pPr>
      <w:r w:rsidRPr="006270CF">
        <w:rPr>
          <w:rFonts w:cs="Times New Roman"/>
          <w:color w:val="auto"/>
          <w:sz w:val="20"/>
          <w:szCs w:val="20"/>
          <w:lang w:val="en-US"/>
        </w:rPr>
        <w:t xml:space="preserve">DAMBHA-MILLER, H.; DAY, A. J.; STRELITZ, J.; IRVING, G.; GRIFFIN, S. J. </w:t>
      </w:r>
      <w:proofErr w:type="spellStart"/>
      <w:r w:rsidRPr="006270CF">
        <w:rPr>
          <w:rFonts w:cs="Times New Roman"/>
          <w:color w:val="auto"/>
          <w:sz w:val="20"/>
          <w:szCs w:val="20"/>
          <w:lang w:val="en-US"/>
        </w:rPr>
        <w:t>Behaviour</w:t>
      </w:r>
      <w:proofErr w:type="spellEnd"/>
      <w:r w:rsidRPr="006270CF">
        <w:rPr>
          <w:rFonts w:cs="Times New Roman"/>
          <w:color w:val="auto"/>
          <w:sz w:val="20"/>
          <w:szCs w:val="20"/>
          <w:lang w:val="en-US"/>
        </w:rPr>
        <w:t xml:space="preserve"> change, weight loss and remission of type 2 diabetes: a community-based prospective cohort study. </w:t>
      </w:r>
      <w:r w:rsidRPr="006270CF">
        <w:rPr>
          <w:rFonts w:cs="Times New Roman"/>
          <w:b/>
          <w:bCs/>
          <w:color w:val="auto"/>
          <w:sz w:val="20"/>
          <w:szCs w:val="20"/>
          <w:lang w:val="en-US"/>
        </w:rPr>
        <w:t>Diabetic medicine</w:t>
      </w:r>
      <w:r w:rsidRPr="006270CF">
        <w:rPr>
          <w:rFonts w:cs="Times New Roman"/>
          <w:color w:val="auto"/>
          <w:sz w:val="20"/>
          <w:szCs w:val="20"/>
          <w:lang w:val="en-US"/>
        </w:rPr>
        <w:t xml:space="preserve">, Oxford, </w:t>
      </w:r>
      <w:r w:rsidRPr="006270CF">
        <w:rPr>
          <w:rFonts w:cs="Times New Roman"/>
          <w:color w:val="auto"/>
          <w:sz w:val="20"/>
          <w:szCs w:val="20"/>
          <w:lang w:val="en-US"/>
        </w:rPr>
        <w:lastRenderedPageBreak/>
        <w:t xml:space="preserve">v. 37, n. 4, p. 681-688, abr. 2020. Available in: </w:t>
      </w:r>
      <w:r w:rsidR="000B3CF7">
        <w:fldChar w:fldCharType="begin"/>
      </w:r>
      <w:r w:rsidR="000B3CF7">
        <w:instrText xml:space="preserve"> HYPERLINK "https://doi.org/10.1111/dme.14122" </w:instrText>
      </w:r>
      <w:r w:rsidR="000B3CF7">
        <w:fldChar w:fldCharType="separate"/>
      </w:r>
      <w:r w:rsidRPr="006270CF">
        <w:rPr>
          <w:rStyle w:val="Hyperlink"/>
          <w:rFonts w:cs="Times New Roman"/>
          <w:sz w:val="20"/>
          <w:szCs w:val="20"/>
          <w:lang w:val="en-US"/>
        </w:rPr>
        <w:t>https://doi.org/10.1111/dme.14122</w:t>
      </w:r>
      <w:r w:rsidR="000B3CF7">
        <w:rPr>
          <w:rStyle w:val="Hyperlink"/>
          <w:rFonts w:cs="Times New Roman"/>
          <w:sz w:val="20"/>
          <w:szCs w:val="20"/>
          <w:lang w:val="en-US"/>
        </w:rPr>
        <w:fldChar w:fldCharType="end"/>
      </w:r>
      <w:r w:rsidRPr="006270CF">
        <w:rPr>
          <w:rFonts w:cs="Times New Roman"/>
          <w:color w:val="auto"/>
          <w:sz w:val="20"/>
          <w:szCs w:val="20"/>
          <w:lang w:val="en-US"/>
        </w:rPr>
        <w:t>.</w:t>
      </w:r>
    </w:p>
    <w:p w14:paraId="3489A708" w14:textId="77777777" w:rsidR="00070E87" w:rsidRPr="006270CF" w:rsidRDefault="00070E87" w:rsidP="00070E87">
      <w:pPr>
        <w:spacing w:after="240" w:line="240" w:lineRule="auto"/>
        <w:ind w:left="-11" w:firstLine="0"/>
        <w:jc w:val="left"/>
        <w:rPr>
          <w:rFonts w:cs="Times New Roman"/>
          <w:color w:val="auto"/>
          <w:sz w:val="20"/>
          <w:szCs w:val="20"/>
          <w:lang w:val="en-US"/>
        </w:rPr>
      </w:pPr>
      <w:r w:rsidRPr="006270CF">
        <w:rPr>
          <w:rFonts w:cs="Times New Roman"/>
          <w:color w:val="auto"/>
          <w:sz w:val="20"/>
          <w:szCs w:val="20"/>
          <w:lang w:val="en-US"/>
        </w:rPr>
        <w:t xml:space="preserve">DAVIES, M. J.; BERGENSTAL, R.; BODE, B.; et al. Efficacy of liraglutide for weight loss among patients with type 2 diabetes: The SCALE Diabetes Randomized Clinical Trial. </w:t>
      </w:r>
      <w:r w:rsidRPr="006270CF">
        <w:rPr>
          <w:rFonts w:cs="Times New Roman"/>
          <w:b/>
          <w:bCs/>
          <w:color w:val="auto"/>
          <w:sz w:val="20"/>
          <w:szCs w:val="20"/>
          <w:lang w:val="en-US"/>
        </w:rPr>
        <w:t>JAMA</w:t>
      </w:r>
      <w:r w:rsidRPr="006270CF">
        <w:rPr>
          <w:rFonts w:cs="Times New Roman"/>
          <w:color w:val="auto"/>
          <w:sz w:val="20"/>
          <w:szCs w:val="20"/>
          <w:lang w:val="en-US"/>
        </w:rPr>
        <w:t xml:space="preserve">, Chicago, v. 314, n. 7, p. 687-699, 2015. Available in: </w:t>
      </w:r>
      <w:r w:rsidR="000B3CF7">
        <w:fldChar w:fldCharType="begin"/>
      </w:r>
      <w:r w:rsidR="000B3CF7">
        <w:instrText xml:space="preserve"> HYPERLINK "https://doi.org/10.1001/jama.2015.9676" </w:instrText>
      </w:r>
      <w:r w:rsidR="000B3CF7">
        <w:fldChar w:fldCharType="separate"/>
      </w:r>
      <w:r w:rsidRPr="006270CF">
        <w:rPr>
          <w:rStyle w:val="Hyperlink"/>
          <w:rFonts w:cs="Times New Roman"/>
          <w:sz w:val="20"/>
          <w:szCs w:val="20"/>
          <w:lang w:val="en-US"/>
        </w:rPr>
        <w:t>https://doi.org/10.1001/jama.2015.9676</w:t>
      </w:r>
      <w:r w:rsidR="000B3CF7">
        <w:rPr>
          <w:rStyle w:val="Hyperlink"/>
          <w:rFonts w:cs="Times New Roman"/>
          <w:sz w:val="20"/>
          <w:szCs w:val="20"/>
          <w:lang w:val="en-US"/>
        </w:rPr>
        <w:fldChar w:fldCharType="end"/>
      </w:r>
      <w:r w:rsidRPr="006270CF">
        <w:rPr>
          <w:rFonts w:cs="Times New Roman"/>
          <w:color w:val="auto"/>
          <w:sz w:val="20"/>
          <w:szCs w:val="20"/>
          <w:lang w:val="en-US"/>
        </w:rPr>
        <w:t>.</w:t>
      </w:r>
    </w:p>
    <w:p w14:paraId="1FD9A5B1" w14:textId="77777777" w:rsidR="00070E87" w:rsidRPr="006270CF" w:rsidRDefault="00070E87" w:rsidP="00070E87">
      <w:pPr>
        <w:spacing w:after="240" w:line="240" w:lineRule="auto"/>
        <w:ind w:left="-11" w:firstLine="0"/>
        <w:jc w:val="left"/>
        <w:rPr>
          <w:rFonts w:cs="Times New Roman"/>
          <w:color w:val="auto"/>
          <w:sz w:val="20"/>
          <w:szCs w:val="20"/>
        </w:rPr>
      </w:pPr>
      <w:r w:rsidRPr="006270CF">
        <w:rPr>
          <w:rFonts w:cs="Times New Roman"/>
          <w:color w:val="auto"/>
          <w:sz w:val="20"/>
          <w:szCs w:val="20"/>
        </w:rPr>
        <w:t xml:space="preserve">DIAS, P. C.; HENRIQUES, P.; ANJOS, L. A.; BURLANDY, L. Obesidade e políticas públicas: concepções e estratégias adotadas pelo governo brasileiro. </w:t>
      </w:r>
      <w:r w:rsidRPr="006270CF">
        <w:rPr>
          <w:rFonts w:cs="Times New Roman"/>
          <w:b/>
          <w:bCs/>
          <w:color w:val="auto"/>
          <w:sz w:val="20"/>
          <w:szCs w:val="20"/>
        </w:rPr>
        <w:t>Cadernos de Saúde Pública</w:t>
      </w:r>
      <w:r w:rsidRPr="006270CF">
        <w:rPr>
          <w:rFonts w:cs="Times New Roman"/>
          <w:color w:val="auto"/>
          <w:sz w:val="20"/>
          <w:szCs w:val="20"/>
        </w:rPr>
        <w:t xml:space="preserve">, v. 33, n. 7, p. e00006016, 2017. Disponível em: </w:t>
      </w:r>
      <w:hyperlink r:id="rId10" w:history="1">
        <w:r w:rsidRPr="006270CF">
          <w:rPr>
            <w:rStyle w:val="Hyperlink"/>
            <w:rFonts w:cs="Times New Roman"/>
            <w:sz w:val="20"/>
            <w:szCs w:val="20"/>
          </w:rPr>
          <w:t>https://doi.org/10.1590/0102-311X00006016</w:t>
        </w:r>
      </w:hyperlink>
      <w:r w:rsidRPr="006270CF">
        <w:rPr>
          <w:rFonts w:cs="Times New Roman"/>
          <w:color w:val="auto"/>
          <w:sz w:val="20"/>
          <w:szCs w:val="20"/>
        </w:rPr>
        <w:t>.</w:t>
      </w:r>
    </w:p>
    <w:p w14:paraId="7BB62B39" w14:textId="77777777" w:rsidR="00070E87" w:rsidRPr="006270CF" w:rsidRDefault="00070E87" w:rsidP="00070E87">
      <w:pPr>
        <w:spacing w:after="240" w:line="240" w:lineRule="auto"/>
        <w:ind w:left="-11" w:firstLine="0"/>
        <w:jc w:val="left"/>
        <w:rPr>
          <w:rFonts w:cs="Times New Roman"/>
          <w:color w:val="auto"/>
          <w:sz w:val="20"/>
          <w:szCs w:val="20"/>
          <w:lang w:val="en-US"/>
        </w:rPr>
      </w:pPr>
      <w:r w:rsidRPr="006270CF">
        <w:rPr>
          <w:rFonts w:cs="Times New Roman"/>
          <w:color w:val="auto"/>
          <w:sz w:val="20"/>
          <w:szCs w:val="20"/>
          <w:lang w:val="es-ES_tradnl"/>
        </w:rPr>
        <w:t>FALUDI, A. A.;</w:t>
      </w:r>
      <w:r w:rsidRPr="006270CF">
        <w:rPr>
          <w:sz w:val="20"/>
          <w:szCs w:val="20"/>
          <w:lang w:val="es-ES_tradnl"/>
        </w:rPr>
        <w:t xml:space="preserve"> </w:t>
      </w:r>
      <w:r w:rsidRPr="006270CF">
        <w:rPr>
          <w:rFonts w:cs="Times New Roman"/>
          <w:color w:val="auto"/>
          <w:sz w:val="20"/>
          <w:szCs w:val="20"/>
          <w:lang w:val="es-ES_tradnl"/>
        </w:rPr>
        <w:t xml:space="preserve">IZAR, M. C. O.; SARAIVA, J. F. K.; et al. </w:t>
      </w:r>
      <w:r w:rsidRPr="006270CF">
        <w:rPr>
          <w:rFonts w:cs="Times New Roman"/>
          <w:color w:val="auto"/>
          <w:sz w:val="20"/>
          <w:szCs w:val="20"/>
        </w:rPr>
        <w:t xml:space="preserve">Atualização da Diretriz Brasileira de Dislipidemias e Prevenção da Aterosclerose – 2017. </w:t>
      </w:r>
      <w:r w:rsidRPr="006270CF">
        <w:rPr>
          <w:rFonts w:cs="Times New Roman"/>
          <w:b/>
          <w:bCs/>
          <w:color w:val="auto"/>
          <w:sz w:val="20"/>
          <w:szCs w:val="20"/>
        </w:rPr>
        <w:t>Arquivos brasileiros de cardiologia</w:t>
      </w:r>
      <w:r w:rsidRPr="006270CF">
        <w:rPr>
          <w:rFonts w:cs="Times New Roman"/>
          <w:color w:val="auto"/>
          <w:sz w:val="20"/>
          <w:szCs w:val="20"/>
        </w:rPr>
        <w:t xml:space="preserve">, São Paulo, v. 109, n. 2, supl. 1, p. 1-76, 2017. </w:t>
      </w:r>
      <w:proofErr w:type="spellStart"/>
      <w:r w:rsidRPr="006270CF">
        <w:rPr>
          <w:rFonts w:cs="Times New Roman"/>
          <w:color w:val="auto"/>
          <w:sz w:val="20"/>
          <w:szCs w:val="20"/>
          <w:lang w:val="en-US"/>
        </w:rPr>
        <w:t>Disponível</w:t>
      </w:r>
      <w:proofErr w:type="spellEnd"/>
      <w:r w:rsidRPr="006270CF">
        <w:rPr>
          <w:rFonts w:cs="Times New Roman"/>
          <w:color w:val="auto"/>
          <w:sz w:val="20"/>
          <w:szCs w:val="20"/>
          <w:lang w:val="en-US"/>
        </w:rPr>
        <w:t xml:space="preserve"> </w:t>
      </w:r>
      <w:proofErr w:type="spellStart"/>
      <w:r w:rsidRPr="006270CF">
        <w:rPr>
          <w:rFonts w:cs="Times New Roman"/>
          <w:color w:val="auto"/>
          <w:sz w:val="20"/>
          <w:szCs w:val="20"/>
          <w:lang w:val="en-US"/>
        </w:rPr>
        <w:t>em</w:t>
      </w:r>
      <w:proofErr w:type="spellEnd"/>
      <w:r w:rsidRPr="006270CF">
        <w:rPr>
          <w:rFonts w:cs="Times New Roman"/>
          <w:color w:val="auto"/>
          <w:sz w:val="20"/>
          <w:szCs w:val="20"/>
          <w:lang w:val="en-US"/>
        </w:rPr>
        <w:t xml:space="preserve">: </w:t>
      </w:r>
      <w:r w:rsidR="000B3CF7">
        <w:fldChar w:fldCharType="begin"/>
      </w:r>
      <w:r w:rsidR="000B3CF7">
        <w:instrText xml:space="preserve"> HYPERLINK "https://doi.org/10.5935/abc.20170121" </w:instrText>
      </w:r>
      <w:r w:rsidR="000B3CF7">
        <w:fldChar w:fldCharType="separate"/>
      </w:r>
      <w:r w:rsidRPr="006270CF">
        <w:rPr>
          <w:rStyle w:val="Hyperlink"/>
          <w:rFonts w:cs="Times New Roman"/>
          <w:sz w:val="20"/>
          <w:szCs w:val="20"/>
          <w:lang w:val="en-US"/>
        </w:rPr>
        <w:t>https://doi.org/10.5935/abc.20170121</w:t>
      </w:r>
      <w:r w:rsidR="000B3CF7">
        <w:rPr>
          <w:rStyle w:val="Hyperlink"/>
          <w:rFonts w:cs="Times New Roman"/>
          <w:sz w:val="20"/>
          <w:szCs w:val="20"/>
          <w:lang w:val="en-US"/>
        </w:rPr>
        <w:fldChar w:fldCharType="end"/>
      </w:r>
      <w:r w:rsidRPr="006270CF">
        <w:rPr>
          <w:rFonts w:cs="Times New Roman"/>
          <w:color w:val="auto"/>
          <w:sz w:val="20"/>
          <w:szCs w:val="20"/>
          <w:lang w:val="en-US"/>
        </w:rPr>
        <w:t>.</w:t>
      </w:r>
    </w:p>
    <w:p w14:paraId="16A52531" w14:textId="77777777" w:rsidR="00070E87" w:rsidRPr="006270CF" w:rsidRDefault="00070E87" w:rsidP="00070E87">
      <w:pPr>
        <w:spacing w:after="240" w:line="240" w:lineRule="auto"/>
        <w:ind w:left="-11" w:firstLine="0"/>
        <w:jc w:val="left"/>
        <w:rPr>
          <w:rFonts w:cs="Times New Roman"/>
          <w:color w:val="auto"/>
          <w:sz w:val="20"/>
          <w:szCs w:val="20"/>
          <w:lang w:val="en-US"/>
        </w:rPr>
      </w:pPr>
      <w:r w:rsidRPr="006270CF">
        <w:rPr>
          <w:rFonts w:cs="Times New Roman"/>
          <w:color w:val="auto"/>
          <w:sz w:val="20"/>
          <w:szCs w:val="20"/>
          <w:lang w:val="en-US"/>
        </w:rPr>
        <w:t xml:space="preserve">FREEDMAN, D. S.; MEI, Z.; SRINIVASAN, S. R.; BERENSON, G. S.; DIETZ, W. H. Cardiovascular risk factors and excess adiposity among overweight children and adolescents: The Bogalusa Heart Study. </w:t>
      </w:r>
      <w:r w:rsidRPr="006270CF">
        <w:rPr>
          <w:rFonts w:cs="Times New Roman"/>
          <w:b/>
          <w:bCs/>
          <w:color w:val="auto"/>
          <w:sz w:val="20"/>
          <w:szCs w:val="20"/>
          <w:lang w:val="en-US"/>
        </w:rPr>
        <w:t>The Journal of pediatrics</w:t>
      </w:r>
      <w:r w:rsidRPr="006270CF">
        <w:rPr>
          <w:rFonts w:cs="Times New Roman"/>
          <w:color w:val="auto"/>
          <w:sz w:val="20"/>
          <w:szCs w:val="20"/>
          <w:lang w:val="en-US"/>
        </w:rPr>
        <w:t xml:space="preserve">, St. Louis, v. 150, n. 1, p. 12- 17.e2, </w:t>
      </w:r>
      <w:proofErr w:type="spellStart"/>
      <w:r w:rsidRPr="006270CF">
        <w:rPr>
          <w:rFonts w:cs="Times New Roman"/>
          <w:color w:val="auto"/>
          <w:sz w:val="20"/>
          <w:szCs w:val="20"/>
          <w:lang w:val="en-US"/>
        </w:rPr>
        <w:t>jan.</w:t>
      </w:r>
      <w:proofErr w:type="spellEnd"/>
      <w:r w:rsidRPr="006270CF">
        <w:rPr>
          <w:rFonts w:cs="Times New Roman"/>
          <w:color w:val="auto"/>
          <w:sz w:val="20"/>
          <w:szCs w:val="20"/>
          <w:lang w:val="en-US"/>
        </w:rPr>
        <w:t xml:space="preserve"> 2007. Available in: </w:t>
      </w:r>
      <w:r w:rsidR="000B3CF7">
        <w:fldChar w:fldCharType="begin"/>
      </w:r>
      <w:r w:rsidR="000B3CF7">
        <w:instrText xml:space="preserve"> HYPERLINK "https://doi.org/10.1016/j.jpeds.2006.08.042" </w:instrText>
      </w:r>
      <w:r w:rsidR="000B3CF7">
        <w:fldChar w:fldCharType="separate"/>
      </w:r>
      <w:r w:rsidRPr="006270CF">
        <w:rPr>
          <w:rStyle w:val="Hyperlink"/>
          <w:rFonts w:cs="Times New Roman"/>
          <w:sz w:val="20"/>
          <w:szCs w:val="20"/>
          <w:lang w:val="en-US"/>
        </w:rPr>
        <w:t>https://doi.org/10.1016/j.jpeds.2006.08.042</w:t>
      </w:r>
      <w:r w:rsidR="000B3CF7">
        <w:rPr>
          <w:rStyle w:val="Hyperlink"/>
          <w:rFonts w:cs="Times New Roman"/>
          <w:sz w:val="20"/>
          <w:szCs w:val="20"/>
          <w:lang w:val="en-US"/>
        </w:rPr>
        <w:fldChar w:fldCharType="end"/>
      </w:r>
      <w:r w:rsidRPr="006270CF">
        <w:rPr>
          <w:rFonts w:cs="Times New Roman"/>
          <w:color w:val="auto"/>
          <w:sz w:val="20"/>
          <w:szCs w:val="20"/>
          <w:lang w:val="en-US"/>
        </w:rPr>
        <w:t>.</w:t>
      </w:r>
    </w:p>
    <w:p w14:paraId="58908976" w14:textId="77777777" w:rsidR="00070E87" w:rsidRPr="006270CF" w:rsidRDefault="00070E87" w:rsidP="00070E87">
      <w:pPr>
        <w:spacing w:after="240" w:line="240" w:lineRule="auto"/>
        <w:ind w:left="-11" w:firstLine="0"/>
        <w:jc w:val="left"/>
        <w:rPr>
          <w:rFonts w:cs="Times New Roman"/>
          <w:color w:val="auto"/>
          <w:sz w:val="20"/>
          <w:szCs w:val="20"/>
          <w:lang w:val="en-US"/>
        </w:rPr>
      </w:pPr>
      <w:r w:rsidRPr="006270CF">
        <w:rPr>
          <w:rFonts w:cs="Times New Roman"/>
          <w:color w:val="auto"/>
          <w:sz w:val="20"/>
          <w:szCs w:val="20"/>
          <w:lang w:val="en-US"/>
        </w:rPr>
        <w:t xml:space="preserve">GARVEY, W. T.; MECHANICK, J. I.; BRETT, E. M.; et al. American Association of Clinical Endocrinologists and American College of Endocrinology Comprehensive Clinical Practice Guidelines for medical care of patients with obesity. </w:t>
      </w:r>
      <w:r w:rsidRPr="006270CF">
        <w:rPr>
          <w:rFonts w:cs="Times New Roman"/>
          <w:b/>
          <w:bCs/>
          <w:color w:val="auto"/>
          <w:sz w:val="20"/>
          <w:szCs w:val="20"/>
          <w:lang w:val="en-US"/>
        </w:rPr>
        <w:t>Endocrine practice</w:t>
      </w:r>
      <w:r w:rsidRPr="006270CF">
        <w:rPr>
          <w:rFonts w:cs="Times New Roman"/>
          <w:color w:val="auto"/>
          <w:sz w:val="20"/>
          <w:szCs w:val="20"/>
          <w:lang w:val="en-US"/>
        </w:rPr>
        <w:t xml:space="preserve">, </w:t>
      </w:r>
      <w:r w:rsidRPr="006270CF">
        <w:rPr>
          <w:rFonts w:cs="Times New Roman"/>
          <w:color w:val="000000"/>
          <w:sz w:val="20"/>
          <w:szCs w:val="20"/>
          <w:shd w:val="clear" w:color="auto" w:fill="FFFFFF"/>
          <w:lang w:val="en-US"/>
        </w:rPr>
        <w:t>Jacksonville</w:t>
      </w:r>
      <w:r w:rsidRPr="006270CF">
        <w:rPr>
          <w:rFonts w:cs="Times New Roman"/>
          <w:color w:val="auto"/>
          <w:sz w:val="20"/>
          <w:szCs w:val="20"/>
          <w:lang w:val="en-US"/>
        </w:rPr>
        <w:t xml:space="preserve">, v. 22, </w:t>
      </w:r>
      <w:proofErr w:type="spellStart"/>
      <w:r w:rsidRPr="006270CF">
        <w:rPr>
          <w:rFonts w:cs="Times New Roman"/>
          <w:color w:val="auto"/>
          <w:sz w:val="20"/>
          <w:szCs w:val="20"/>
          <w:lang w:val="en-US"/>
        </w:rPr>
        <w:t>supl</w:t>
      </w:r>
      <w:proofErr w:type="spellEnd"/>
      <w:r w:rsidRPr="006270CF">
        <w:rPr>
          <w:rFonts w:cs="Times New Roman"/>
          <w:color w:val="auto"/>
          <w:sz w:val="20"/>
          <w:szCs w:val="20"/>
          <w:lang w:val="en-US"/>
        </w:rPr>
        <w:t xml:space="preserve">. 3, p. 1-203, 2016. Available in: </w:t>
      </w:r>
      <w:r w:rsidR="000B3CF7">
        <w:fldChar w:fldCharType="begin"/>
      </w:r>
      <w:r w:rsidR="000B3CF7">
        <w:instrText xml:space="preserve"> HYPERLINK "https://doi.org/10.4158/ep161365.gl" </w:instrText>
      </w:r>
      <w:r w:rsidR="000B3CF7">
        <w:fldChar w:fldCharType="separate"/>
      </w:r>
      <w:r w:rsidRPr="006270CF">
        <w:rPr>
          <w:rStyle w:val="Hyperlink"/>
          <w:rFonts w:cs="Times New Roman"/>
          <w:sz w:val="20"/>
          <w:szCs w:val="20"/>
          <w:lang w:val="en-US"/>
        </w:rPr>
        <w:t>https://doi.org/10.4158/ep161365.gl</w:t>
      </w:r>
      <w:r w:rsidR="000B3CF7">
        <w:rPr>
          <w:rStyle w:val="Hyperlink"/>
          <w:rFonts w:cs="Times New Roman"/>
          <w:sz w:val="20"/>
          <w:szCs w:val="20"/>
          <w:lang w:val="en-US"/>
        </w:rPr>
        <w:fldChar w:fldCharType="end"/>
      </w:r>
      <w:r w:rsidRPr="006270CF">
        <w:rPr>
          <w:rFonts w:cs="Times New Roman"/>
          <w:color w:val="auto"/>
          <w:sz w:val="20"/>
          <w:szCs w:val="20"/>
          <w:lang w:val="en-US"/>
        </w:rPr>
        <w:t>.</w:t>
      </w:r>
    </w:p>
    <w:p w14:paraId="3BF66AB4" w14:textId="77777777" w:rsidR="00070E87" w:rsidRPr="006270CF" w:rsidRDefault="00070E87" w:rsidP="00070E87">
      <w:pPr>
        <w:spacing w:after="240" w:line="240" w:lineRule="auto"/>
        <w:ind w:left="-11" w:firstLine="0"/>
        <w:jc w:val="left"/>
        <w:rPr>
          <w:rFonts w:cs="Times New Roman"/>
          <w:color w:val="auto"/>
          <w:sz w:val="20"/>
          <w:szCs w:val="20"/>
          <w:lang w:val="en-US"/>
        </w:rPr>
      </w:pPr>
      <w:r w:rsidRPr="006270CF">
        <w:rPr>
          <w:rFonts w:cs="Times New Roman"/>
          <w:color w:val="auto"/>
          <w:sz w:val="20"/>
          <w:szCs w:val="20"/>
          <w:lang w:val="en-US"/>
        </w:rPr>
        <w:t xml:space="preserve">JAMES, W. P. T.; CATERSON, I. D.; COUTINHO, W.; et al. Effect of sibutramine on cardiovascular outcomes in overweight and obese subjects. </w:t>
      </w:r>
      <w:r w:rsidRPr="006270CF">
        <w:rPr>
          <w:rFonts w:cs="Times New Roman"/>
          <w:b/>
          <w:bCs/>
          <w:color w:val="auto"/>
          <w:sz w:val="20"/>
          <w:szCs w:val="20"/>
          <w:lang w:val="en-US"/>
        </w:rPr>
        <w:t>New England Journal of Medicine</w:t>
      </w:r>
      <w:r w:rsidRPr="006270CF">
        <w:rPr>
          <w:rFonts w:cs="Times New Roman"/>
          <w:color w:val="auto"/>
          <w:sz w:val="20"/>
          <w:szCs w:val="20"/>
          <w:lang w:val="en-US"/>
        </w:rPr>
        <w:t xml:space="preserve">, Boston, v. 363, n. 10, p. 905-917, 2010. Available in: </w:t>
      </w:r>
      <w:r w:rsidR="000B3CF7">
        <w:fldChar w:fldCharType="begin"/>
      </w:r>
      <w:r w:rsidR="000B3CF7">
        <w:instrText xml:space="preserve"> HYPERLINK "https://doi.org/</w:instrText>
      </w:r>
      <w:r w:rsidR="000B3CF7">
        <w:instrText xml:space="preserve">10.1056/nejmoa1003114" </w:instrText>
      </w:r>
      <w:r w:rsidR="000B3CF7">
        <w:fldChar w:fldCharType="separate"/>
      </w:r>
      <w:r w:rsidRPr="006270CF">
        <w:rPr>
          <w:rStyle w:val="Hyperlink"/>
          <w:rFonts w:cs="Times New Roman"/>
          <w:sz w:val="20"/>
          <w:szCs w:val="20"/>
          <w:lang w:val="en-US"/>
        </w:rPr>
        <w:t>https://doi.org/10.1056/nejmoa1003114</w:t>
      </w:r>
      <w:r w:rsidR="000B3CF7">
        <w:rPr>
          <w:rStyle w:val="Hyperlink"/>
          <w:rFonts w:cs="Times New Roman"/>
          <w:sz w:val="20"/>
          <w:szCs w:val="20"/>
          <w:lang w:val="en-US"/>
        </w:rPr>
        <w:fldChar w:fldCharType="end"/>
      </w:r>
      <w:r w:rsidRPr="006270CF">
        <w:rPr>
          <w:rFonts w:cs="Times New Roman"/>
          <w:color w:val="auto"/>
          <w:sz w:val="20"/>
          <w:szCs w:val="20"/>
          <w:lang w:val="en-US"/>
        </w:rPr>
        <w:t>.</w:t>
      </w:r>
    </w:p>
    <w:p w14:paraId="77685860" w14:textId="37FF8322" w:rsidR="00070E87" w:rsidRPr="006270CF" w:rsidRDefault="00070E87" w:rsidP="00070E87">
      <w:pPr>
        <w:spacing w:after="240" w:line="240" w:lineRule="auto"/>
        <w:ind w:left="-11" w:firstLine="0"/>
        <w:jc w:val="left"/>
        <w:rPr>
          <w:rFonts w:cs="Times New Roman"/>
          <w:color w:val="auto"/>
          <w:sz w:val="20"/>
          <w:szCs w:val="20"/>
          <w:lang w:val="en-US"/>
        </w:rPr>
      </w:pPr>
      <w:r w:rsidRPr="006270CF">
        <w:rPr>
          <w:rFonts w:cs="Times New Roman"/>
          <w:color w:val="auto"/>
          <w:sz w:val="20"/>
          <w:szCs w:val="20"/>
          <w:lang w:val="en-US"/>
        </w:rPr>
        <w:t xml:space="preserve">JAMES, W.P.; ASTRUP, A.; FINER, N.; et al. Effect of sibutramine on weight maintenance after weight loss: a </w:t>
      </w:r>
      <w:proofErr w:type="spellStart"/>
      <w:r w:rsidRPr="006270CF">
        <w:rPr>
          <w:rFonts w:cs="Times New Roman"/>
          <w:color w:val="auto"/>
          <w:sz w:val="20"/>
          <w:szCs w:val="20"/>
          <w:lang w:val="en-US"/>
        </w:rPr>
        <w:t>randomised</w:t>
      </w:r>
      <w:proofErr w:type="spellEnd"/>
      <w:r w:rsidRPr="006270CF">
        <w:rPr>
          <w:rFonts w:cs="Times New Roman"/>
          <w:color w:val="auto"/>
          <w:sz w:val="20"/>
          <w:szCs w:val="20"/>
          <w:lang w:val="en-US"/>
        </w:rPr>
        <w:t xml:space="preserve"> trial. STORM Study Group. Sibutramine Trial of Obesity Reduction and Maintenance. </w:t>
      </w:r>
      <w:r w:rsidRPr="006270CF">
        <w:rPr>
          <w:rFonts w:cs="Times New Roman"/>
          <w:b/>
          <w:bCs/>
          <w:color w:val="auto"/>
          <w:sz w:val="20"/>
          <w:szCs w:val="20"/>
          <w:lang w:val="en-US"/>
        </w:rPr>
        <w:t>Lancet</w:t>
      </w:r>
      <w:r w:rsidRPr="006270CF">
        <w:rPr>
          <w:rFonts w:cs="Times New Roman"/>
          <w:color w:val="auto"/>
          <w:sz w:val="20"/>
          <w:szCs w:val="20"/>
          <w:lang w:val="en-US"/>
        </w:rPr>
        <w:t xml:space="preserve">, London, v. 356, n. 9248, p.2119-2125, 2000. Available in: </w:t>
      </w:r>
      <w:r w:rsidR="000B3CF7">
        <w:fldChar w:fldCharType="begin"/>
      </w:r>
      <w:r w:rsidR="000B3CF7">
        <w:instrText xml:space="preserve"> HYPERLINK "https://doi.org/10.1016/s0140-6736(00)03491-7" </w:instrText>
      </w:r>
      <w:r w:rsidR="000B3CF7">
        <w:fldChar w:fldCharType="separate"/>
      </w:r>
      <w:r w:rsidRPr="006270CF">
        <w:rPr>
          <w:rStyle w:val="Hyperlink"/>
          <w:rFonts w:cs="Times New Roman"/>
          <w:sz w:val="20"/>
          <w:szCs w:val="20"/>
          <w:lang w:val="en-US"/>
        </w:rPr>
        <w:t>https://doi.org/10.1016/s0140-6736(00)03491-7</w:t>
      </w:r>
      <w:r w:rsidR="000B3CF7">
        <w:rPr>
          <w:rStyle w:val="Hyperlink"/>
          <w:rFonts w:cs="Times New Roman"/>
          <w:sz w:val="20"/>
          <w:szCs w:val="20"/>
          <w:lang w:val="en-US"/>
        </w:rPr>
        <w:fldChar w:fldCharType="end"/>
      </w:r>
      <w:r w:rsidRPr="006270CF">
        <w:rPr>
          <w:rFonts w:cs="Times New Roman"/>
          <w:color w:val="auto"/>
          <w:sz w:val="20"/>
          <w:szCs w:val="20"/>
          <w:lang w:val="en-US"/>
        </w:rPr>
        <w:t>.</w:t>
      </w:r>
    </w:p>
    <w:p w14:paraId="60568358" w14:textId="412192F7" w:rsidR="00F42608" w:rsidRPr="006270CF" w:rsidRDefault="00B13258" w:rsidP="00070E87">
      <w:pPr>
        <w:spacing w:after="240" w:line="240" w:lineRule="auto"/>
        <w:ind w:left="-11" w:firstLine="0"/>
        <w:jc w:val="left"/>
        <w:rPr>
          <w:rFonts w:cs="Times New Roman"/>
          <w:color w:val="auto"/>
          <w:sz w:val="20"/>
          <w:szCs w:val="20"/>
          <w:lang w:val="en-US"/>
        </w:rPr>
      </w:pPr>
      <w:r w:rsidRPr="006270CF">
        <w:rPr>
          <w:rFonts w:cs="Times New Roman"/>
          <w:color w:val="auto"/>
          <w:sz w:val="20"/>
          <w:szCs w:val="20"/>
          <w:lang w:val="es-ES_tradnl"/>
        </w:rPr>
        <w:t>KELLY, A. S.; AUERBACH, P.; BARRIENTOS-PEREZ, M.;</w:t>
      </w:r>
      <w:r w:rsidR="00F42608" w:rsidRPr="006270CF">
        <w:rPr>
          <w:rFonts w:cs="Times New Roman"/>
          <w:color w:val="auto"/>
          <w:sz w:val="20"/>
          <w:szCs w:val="20"/>
          <w:lang w:val="es-ES_tradnl"/>
        </w:rPr>
        <w:t xml:space="preserve"> </w:t>
      </w:r>
      <w:r w:rsidRPr="006270CF">
        <w:rPr>
          <w:rFonts w:cs="Times New Roman"/>
          <w:color w:val="auto"/>
          <w:sz w:val="20"/>
          <w:szCs w:val="20"/>
          <w:lang w:val="es-ES_tradnl"/>
        </w:rPr>
        <w:t>et al</w:t>
      </w:r>
      <w:r w:rsidR="00F42608" w:rsidRPr="006270CF">
        <w:rPr>
          <w:rFonts w:cs="Times New Roman"/>
          <w:color w:val="auto"/>
          <w:sz w:val="20"/>
          <w:szCs w:val="20"/>
          <w:lang w:val="es-ES_tradnl"/>
        </w:rPr>
        <w:t xml:space="preserve">. </w:t>
      </w:r>
      <w:r w:rsidR="00F42608" w:rsidRPr="006270CF">
        <w:rPr>
          <w:rFonts w:cs="Times New Roman"/>
          <w:color w:val="auto"/>
          <w:sz w:val="20"/>
          <w:szCs w:val="20"/>
          <w:lang w:val="en-US"/>
        </w:rPr>
        <w:t xml:space="preserve">A Randomized, Controlled Trial of Liraglutide for Adolescents with Obesity. </w:t>
      </w:r>
      <w:r w:rsidR="00F1270F" w:rsidRPr="006270CF">
        <w:rPr>
          <w:rFonts w:cs="Times New Roman"/>
          <w:b/>
          <w:bCs/>
          <w:color w:val="auto"/>
          <w:sz w:val="20"/>
          <w:szCs w:val="20"/>
          <w:lang w:val="en-US"/>
        </w:rPr>
        <w:t>The New England journal of medicine</w:t>
      </w:r>
      <w:r w:rsidR="00F1270F" w:rsidRPr="006270CF">
        <w:rPr>
          <w:rFonts w:cs="Times New Roman"/>
          <w:color w:val="auto"/>
          <w:sz w:val="20"/>
          <w:szCs w:val="20"/>
          <w:lang w:val="en-US"/>
        </w:rPr>
        <w:t>, Boston</w:t>
      </w:r>
      <w:r w:rsidR="0041662C" w:rsidRPr="006270CF">
        <w:rPr>
          <w:rFonts w:cs="Times New Roman"/>
          <w:color w:val="auto"/>
          <w:sz w:val="20"/>
          <w:szCs w:val="20"/>
          <w:lang w:val="en-US"/>
        </w:rPr>
        <w:t xml:space="preserve">, v. </w:t>
      </w:r>
      <w:r w:rsidR="00F42608" w:rsidRPr="006270CF">
        <w:rPr>
          <w:rFonts w:cs="Times New Roman"/>
          <w:color w:val="auto"/>
          <w:sz w:val="20"/>
          <w:szCs w:val="20"/>
          <w:lang w:val="en-US"/>
        </w:rPr>
        <w:t>382</w:t>
      </w:r>
      <w:r w:rsidR="0041662C" w:rsidRPr="006270CF">
        <w:rPr>
          <w:rFonts w:cs="Times New Roman"/>
          <w:color w:val="auto"/>
          <w:sz w:val="20"/>
          <w:szCs w:val="20"/>
          <w:lang w:val="en-US"/>
        </w:rPr>
        <w:t xml:space="preserve">, n. </w:t>
      </w:r>
      <w:r w:rsidR="00F42608" w:rsidRPr="006270CF">
        <w:rPr>
          <w:rFonts w:cs="Times New Roman"/>
          <w:color w:val="auto"/>
          <w:sz w:val="20"/>
          <w:szCs w:val="20"/>
          <w:lang w:val="en-US"/>
        </w:rPr>
        <w:t>22</w:t>
      </w:r>
      <w:r w:rsidR="0041662C" w:rsidRPr="006270CF">
        <w:rPr>
          <w:rFonts w:cs="Times New Roman"/>
          <w:color w:val="auto"/>
          <w:sz w:val="20"/>
          <w:szCs w:val="20"/>
          <w:lang w:val="en-US"/>
        </w:rPr>
        <w:t>, p.</w:t>
      </w:r>
      <w:r w:rsidR="001B4371" w:rsidRPr="006270CF">
        <w:rPr>
          <w:rFonts w:cs="Times New Roman"/>
          <w:color w:val="auto"/>
          <w:sz w:val="20"/>
          <w:szCs w:val="20"/>
          <w:lang w:val="en-US"/>
        </w:rPr>
        <w:t xml:space="preserve"> </w:t>
      </w:r>
      <w:r w:rsidR="00F42608" w:rsidRPr="006270CF">
        <w:rPr>
          <w:rFonts w:cs="Times New Roman"/>
          <w:color w:val="auto"/>
          <w:sz w:val="20"/>
          <w:szCs w:val="20"/>
          <w:lang w:val="en-US"/>
        </w:rPr>
        <w:t>2117-2128</w:t>
      </w:r>
      <w:r w:rsidR="0041662C" w:rsidRPr="006270CF">
        <w:rPr>
          <w:rFonts w:cs="Times New Roman"/>
          <w:color w:val="auto"/>
          <w:sz w:val="20"/>
          <w:szCs w:val="20"/>
          <w:lang w:val="en-US"/>
        </w:rPr>
        <w:t>, 2020</w:t>
      </w:r>
      <w:r w:rsidR="00F42608" w:rsidRPr="006270CF">
        <w:rPr>
          <w:rFonts w:cs="Times New Roman"/>
          <w:color w:val="auto"/>
          <w:sz w:val="20"/>
          <w:szCs w:val="20"/>
          <w:lang w:val="en-US"/>
        </w:rPr>
        <w:t>.</w:t>
      </w:r>
      <w:r w:rsidRPr="006270CF">
        <w:rPr>
          <w:rFonts w:cs="Times New Roman"/>
          <w:color w:val="auto"/>
          <w:sz w:val="20"/>
          <w:szCs w:val="20"/>
          <w:lang w:val="en-US"/>
        </w:rPr>
        <w:t xml:space="preserve"> Available in: </w:t>
      </w:r>
      <w:r w:rsidR="000B3CF7">
        <w:fldChar w:fldCharType="begin"/>
      </w:r>
      <w:r w:rsidR="000B3CF7">
        <w:instrText xml:space="preserve"> HYPERLINK "https://doi.org/10.1056/nejmoa1916038" </w:instrText>
      </w:r>
      <w:r w:rsidR="000B3CF7">
        <w:fldChar w:fldCharType="separate"/>
      </w:r>
      <w:r w:rsidRPr="006270CF">
        <w:rPr>
          <w:rStyle w:val="Hyperlink"/>
          <w:rFonts w:cs="Times New Roman"/>
          <w:sz w:val="20"/>
          <w:szCs w:val="20"/>
          <w:lang w:val="en-US"/>
        </w:rPr>
        <w:t>https://doi.org/10.1056/nejmoa1916038</w:t>
      </w:r>
      <w:r w:rsidR="000B3CF7">
        <w:rPr>
          <w:rStyle w:val="Hyperlink"/>
          <w:rFonts w:cs="Times New Roman"/>
          <w:sz w:val="20"/>
          <w:szCs w:val="20"/>
          <w:lang w:val="en-US"/>
        </w:rPr>
        <w:fldChar w:fldCharType="end"/>
      </w:r>
      <w:r w:rsidRPr="006270CF">
        <w:rPr>
          <w:rFonts w:cs="Times New Roman"/>
          <w:color w:val="auto"/>
          <w:sz w:val="20"/>
          <w:szCs w:val="20"/>
          <w:lang w:val="en-US"/>
        </w:rPr>
        <w:t>.</w:t>
      </w:r>
    </w:p>
    <w:p w14:paraId="400FE027" w14:textId="0D8D023F" w:rsidR="00F30E21" w:rsidRPr="006270CF" w:rsidRDefault="00246394" w:rsidP="00070E87">
      <w:pPr>
        <w:spacing w:after="240" w:line="240" w:lineRule="auto"/>
        <w:ind w:left="-11" w:firstLine="0"/>
        <w:jc w:val="left"/>
        <w:rPr>
          <w:rFonts w:cs="Times New Roman"/>
          <w:color w:val="auto"/>
          <w:sz w:val="20"/>
          <w:szCs w:val="20"/>
          <w:lang w:val="en-US"/>
        </w:rPr>
      </w:pPr>
      <w:r w:rsidRPr="006270CF">
        <w:rPr>
          <w:rFonts w:cs="Times New Roman"/>
          <w:color w:val="auto"/>
          <w:sz w:val="20"/>
          <w:szCs w:val="20"/>
          <w:lang w:val="en-US"/>
        </w:rPr>
        <w:t xml:space="preserve">KOHUT, T.; ROBBINS, J.; PANGANIBAN, </w:t>
      </w:r>
      <w:r w:rsidR="00F30E21" w:rsidRPr="006270CF">
        <w:rPr>
          <w:rFonts w:cs="Times New Roman"/>
          <w:color w:val="auto"/>
          <w:sz w:val="20"/>
          <w:szCs w:val="20"/>
          <w:lang w:val="en-US"/>
        </w:rPr>
        <w:t xml:space="preserve">J. Update on childhood/adolescent obesity and its sequela. </w:t>
      </w:r>
      <w:r w:rsidR="00F30E21" w:rsidRPr="006270CF">
        <w:rPr>
          <w:rFonts w:cs="Times New Roman"/>
          <w:b/>
          <w:bCs/>
          <w:color w:val="auto"/>
          <w:sz w:val="20"/>
          <w:szCs w:val="20"/>
          <w:lang w:val="en-US"/>
        </w:rPr>
        <w:t>C</w:t>
      </w:r>
      <w:r w:rsidRPr="006270CF">
        <w:rPr>
          <w:rFonts w:cs="Times New Roman"/>
          <w:b/>
          <w:bCs/>
          <w:color w:val="auto"/>
          <w:sz w:val="20"/>
          <w:szCs w:val="20"/>
          <w:lang w:val="en-US"/>
        </w:rPr>
        <w:t>urrent opinion in pediatrics</w:t>
      </w:r>
      <w:r w:rsidRPr="006270CF">
        <w:rPr>
          <w:rFonts w:cs="Times New Roman"/>
          <w:color w:val="auto"/>
          <w:sz w:val="20"/>
          <w:szCs w:val="20"/>
          <w:lang w:val="en-US"/>
        </w:rPr>
        <w:t xml:space="preserve">, Philadelphia, v. </w:t>
      </w:r>
      <w:r w:rsidR="00F30E21" w:rsidRPr="006270CF">
        <w:rPr>
          <w:rFonts w:cs="Times New Roman"/>
          <w:color w:val="auto"/>
          <w:sz w:val="20"/>
          <w:szCs w:val="20"/>
          <w:lang w:val="en-US"/>
        </w:rPr>
        <w:t>31</w:t>
      </w:r>
      <w:r w:rsidRPr="006270CF">
        <w:rPr>
          <w:rFonts w:cs="Times New Roman"/>
          <w:color w:val="auto"/>
          <w:sz w:val="20"/>
          <w:szCs w:val="20"/>
          <w:lang w:val="en-US"/>
        </w:rPr>
        <w:t xml:space="preserve">, n. </w:t>
      </w:r>
      <w:r w:rsidR="00F30E21" w:rsidRPr="006270CF">
        <w:rPr>
          <w:rFonts w:cs="Times New Roman"/>
          <w:color w:val="auto"/>
          <w:sz w:val="20"/>
          <w:szCs w:val="20"/>
          <w:lang w:val="en-US"/>
        </w:rPr>
        <w:t>5</w:t>
      </w:r>
      <w:r w:rsidRPr="006270CF">
        <w:rPr>
          <w:rFonts w:cs="Times New Roman"/>
          <w:color w:val="auto"/>
          <w:sz w:val="20"/>
          <w:szCs w:val="20"/>
          <w:lang w:val="en-US"/>
        </w:rPr>
        <w:t xml:space="preserve">, p. </w:t>
      </w:r>
      <w:r w:rsidR="00F30E21" w:rsidRPr="006270CF">
        <w:rPr>
          <w:rFonts w:cs="Times New Roman"/>
          <w:color w:val="auto"/>
          <w:sz w:val="20"/>
          <w:szCs w:val="20"/>
          <w:lang w:val="en-US"/>
        </w:rPr>
        <w:t>645-653</w:t>
      </w:r>
      <w:r w:rsidRPr="006270CF">
        <w:rPr>
          <w:rFonts w:cs="Times New Roman"/>
          <w:color w:val="auto"/>
          <w:sz w:val="20"/>
          <w:szCs w:val="20"/>
          <w:lang w:val="en-US"/>
        </w:rPr>
        <w:t>, 2019</w:t>
      </w:r>
      <w:r w:rsidR="00F30E21" w:rsidRPr="006270CF">
        <w:rPr>
          <w:rFonts w:cs="Times New Roman"/>
          <w:color w:val="auto"/>
          <w:sz w:val="20"/>
          <w:szCs w:val="20"/>
          <w:lang w:val="en-US"/>
        </w:rPr>
        <w:t xml:space="preserve">. Available in: </w:t>
      </w:r>
      <w:r w:rsidR="000B3CF7">
        <w:fldChar w:fldCharType="begin"/>
      </w:r>
      <w:r w:rsidR="000B3CF7">
        <w:instrText xml:space="preserve"> HYPERLINK "https://doi.org/10.1097/mop.0000000000000786" </w:instrText>
      </w:r>
      <w:r w:rsidR="000B3CF7">
        <w:fldChar w:fldCharType="separate"/>
      </w:r>
      <w:r w:rsidR="00F30E21" w:rsidRPr="006270CF">
        <w:rPr>
          <w:rStyle w:val="Hyperlink"/>
          <w:rFonts w:cs="Times New Roman"/>
          <w:sz w:val="20"/>
          <w:szCs w:val="20"/>
          <w:lang w:val="en-US"/>
        </w:rPr>
        <w:t>https://doi.org/10.1097/mop.0000000000000786</w:t>
      </w:r>
      <w:r w:rsidR="000B3CF7">
        <w:rPr>
          <w:rStyle w:val="Hyperlink"/>
          <w:rFonts w:cs="Times New Roman"/>
          <w:sz w:val="20"/>
          <w:szCs w:val="20"/>
          <w:lang w:val="en-US"/>
        </w:rPr>
        <w:fldChar w:fldCharType="end"/>
      </w:r>
      <w:r w:rsidR="00F30E21" w:rsidRPr="006270CF">
        <w:rPr>
          <w:rFonts w:cs="Times New Roman"/>
          <w:color w:val="auto"/>
          <w:sz w:val="20"/>
          <w:szCs w:val="20"/>
          <w:lang w:val="en-US"/>
        </w:rPr>
        <w:t>.</w:t>
      </w:r>
    </w:p>
    <w:p w14:paraId="791344AC" w14:textId="77777777" w:rsidR="00070E87" w:rsidRPr="006270CF" w:rsidRDefault="00070E87" w:rsidP="00070E87">
      <w:pPr>
        <w:spacing w:after="240" w:line="240" w:lineRule="auto"/>
        <w:ind w:left="-11" w:firstLine="0"/>
        <w:jc w:val="left"/>
        <w:rPr>
          <w:rFonts w:cs="Times New Roman"/>
          <w:color w:val="auto"/>
          <w:sz w:val="20"/>
          <w:szCs w:val="20"/>
          <w:lang w:val="en-US"/>
        </w:rPr>
      </w:pPr>
      <w:r w:rsidRPr="006270CF">
        <w:rPr>
          <w:rFonts w:cs="Times New Roman"/>
          <w:color w:val="auto"/>
          <w:sz w:val="20"/>
          <w:szCs w:val="20"/>
          <w:lang w:val="en-US"/>
        </w:rPr>
        <w:t xml:space="preserve">LE ROUX, C. W.; ASTRUP, A.; FUJIOKA, K.; et al. 3 years of liraglutide versus placebo for type 2 diabetes risk reduction and weight management in individuals with prediabetes: a </w:t>
      </w:r>
      <w:proofErr w:type="spellStart"/>
      <w:r w:rsidRPr="006270CF">
        <w:rPr>
          <w:rFonts w:cs="Times New Roman"/>
          <w:color w:val="auto"/>
          <w:sz w:val="20"/>
          <w:szCs w:val="20"/>
          <w:lang w:val="en-US"/>
        </w:rPr>
        <w:t>randomised</w:t>
      </w:r>
      <w:proofErr w:type="spellEnd"/>
      <w:r w:rsidRPr="006270CF">
        <w:rPr>
          <w:rFonts w:cs="Times New Roman"/>
          <w:color w:val="auto"/>
          <w:sz w:val="20"/>
          <w:szCs w:val="20"/>
          <w:lang w:val="en-US"/>
        </w:rPr>
        <w:t xml:space="preserve">, double-blind trial. </w:t>
      </w:r>
      <w:r w:rsidRPr="006270CF">
        <w:rPr>
          <w:rFonts w:cs="Times New Roman"/>
          <w:b/>
          <w:bCs/>
          <w:color w:val="auto"/>
          <w:sz w:val="20"/>
          <w:szCs w:val="20"/>
          <w:lang w:val="en-US"/>
        </w:rPr>
        <w:t>Lancet</w:t>
      </w:r>
      <w:r w:rsidRPr="006270CF">
        <w:rPr>
          <w:rFonts w:cs="Times New Roman"/>
          <w:color w:val="auto"/>
          <w:sz w:val="20"/>
          <w:szCs w:val="20"/>
          <w:lang w:val="en-US"/>
        </w:rPr>
        <w:t xml:space="preserve">, London, v. 389, n. 10077, p.1399-409 Apr. 2017. Available in: </w:t>
      </w:r>
      <w:r w:rsidR="000B3CF7">
        <w:fldChar w:fldCharType="begin"/>
      </w:r>
      <w:r w:rsidR="000B3CF7">
        <w:instrText xml:space="preserve"> HYPERLINK "https://doi.org/10.1016/s0140-6736(17)30069-7" </w:instrText>
      </w:r>
      <w:r w:rsidR="000B3CF7">
        <w:fldChar w:fldCharType="separate"/>
      </w:r>
      <w:r w:rsidRPr="006270CF">
        <w:rPr>
          <w:rStyle w:val="Hyperlink"/>
          <w:rFonts w:cs="Times New Roman"/>
          <w:sz w:val="20"/>
          <w:szCs w:val="20"/>
          <w:lang w:val="en-US"/>
        </w:rPr>
        <w:t>https://doi.org/10.1016/s0140-6736(17)30069-7</w:t>
      </w:r>
      <w:r w:rsidR="000B3CF7">
        <w:rPr>
          <w:rStyle w:val="Hyperlink"/>
          <w:rFonts w:cs="Times New Roman"/>
          <w:sz w:val="20"/>
          <w:szCs w:val="20"/>
          <w:lang w:val="en-US"/>
        </w:rPr>
        <w:fldChar w:fldCharType="end"/>
      </w:r>
      <w:r w:rsidRPr="006270CF">
        <w:rPr>
          <w:rFonts w:cs="Times New Roman"/>
          <w:color w:val="auto"/>
          <w:sz w:val="20"/>
          <w:szCs w:val="20"/>
          <w:lang w:val="en-US"/>
        </w:rPr>
        <w:t>.</w:t>
      </w:r>
    </w:p>
    <w:p w14:paraId="733E669A" w14:textId="77777777" w:rsidR="00070E87" w:rsidRPr="006270CF" w:rsidRDefault="00070E87" w:rsidP="00070E87">
      <w:pPr>
        <w:spacing w:after="240" w:line="240" w:lineRule="auto"/>
        <w:ind w:left="-11" w:firstLine="0"/>
        <w:jc w:val="left"/>
        <w:rPr>
          <w:rFonts w:cs="Times New Roman"/>
          <w:color w:val="auto"/>
          <w:sz w:val="20"/>
          <w:szCs w:val="20"/>
          <w:lang w:val="en-US"/>
        </w:rPr>
      </w:pPr>
      <w:r w:rsidRPr="006270CF">
        <w:rPr>
          <w:rFonts w:cs="Times New Roman"/>
          <w:color w:val="auto"/>
          <w:sz w:val="20"/>
          <w:szCs w:val="20"/>
          <w:lang w:val="en-US"/>
        </w:rPr>
        <w:t>LEAN, M. E.; LESLIE, W. S.; BARNES, A. C.; et al. Primary care-led weight management for remission of type 2 diabetes (</w:t>
      </w:r>
      <w:proofErr w:type="spellStart"/>
      <w:r w:rsidRPr="006270CF">
        <w:rPr>
          <w:rFonts w:cs="Times New Roman"/>
          <w:color w:val="auto"/>
          <w:sz w:val="20"/>
          <w:szCs w:val="20"/>
          <w:lang w:val="en-US"/>
        </w:rPr>
        <w:t>DiRECT</w:t>
      </w:r>
      <w:proofErr w:type="spellEnd"/>
      <w:r w:rsidRPr="006270CF">
        <w:rPr>
          <w:rFonts w:cs="Times New Roman"/>
          <w:color w:val="auto"/>
          <w:sz w:val="20"/>
          <w:szCs w:val="20"/>
          <w:lang w:val="en-US"/>
        </w:rPr>
        <w:t>): an open-label, cluster-</w:t>
      </w:r>
      <w:proofErr w:type="spellStart"/>
      <w:r w:rsidRPr="006270CF">
        <w:rPr>
          <w:rFonts w:cs="Times New Roman"/>
          <w:color w:val="auto"/>
          <w:sz w:val="20"/>
          <w:szCs w:val="20"/>
          <w:lang w:val="en-US"/>
        </w:rPr>
        <w:t>randomised</w:t>
      </w:r>
      <w:proofErr w:type="spellEnd"/>
      <w:r w:rsidRPr="006270CF">
        <w:rPr>
          <w:rFonts w:cs="Times New Roman"/>
          <w:color w:val="auto"/>
          <w:sz w:val="20"/>
          <w:szCs w:val="20"/>
          <w:lang w:val="en-US"/>
        </w:rPr>
        <w:t xml:space="preserve"> trial. </w:t>
      </w:r>
      <w:r w:rsidRPr="006270CF">
        <w:rPr>
          <w:rFonts w:cs="Times New Roman"/>
          <w:b/>
          <w:bCs/>
          <w:color w:val="auto"/>
          <w:sz w:val="20"/>
          <w:szCs w:val="20"/>
          <w:lang w:val="en-US"/>
        </w:rPr>
        <w:t>Lancet</w:t>
      </w:r>
      <w:r w:rsidRPr="006270CF">
        <w:rPr>
          <w:rFonts w:cs="Times New Roman"/>
          <w:color w:val="auto"/>
          <w:sz w:val="20"/>
          <w:szCs w:val="20"/>
          <w:lang w:val="en-US"/>
        </w:rPr>
        <w:t xml:space="preserve">, London, v. 391, n. 10120, p. 541-551, 2018. Available in: </w:t>
      </w:r>
      <w:r w:rsidR="000B3CF7">
        <w:fldChar w:fldCharType="begin"/>
      </w:r>
      <w:r w:rsidR="000B3CF7">
        <w:instrText xml:space="preserve"> HYPERLINK "https://doi.org/10.1016/s0140-6736(17)33102-1" </w:instrText>
      </w:r>
      <w:r w:rsidR="000B3CF7">
        <w:fldChar w:fldCharType="separate"/>
      </w:r>
      <w:r w:rsidRPr="006270CF">
        <w:rPr>
          <w:rStyle w:val="Hyperlink"/>
          <w:rFonts w:cs="Times New Roman"/>
          <w:sz w:val="20"/>
          <w:szCs w:val="20"/>
          <w:lang w:val="en-US"/>
        </w:rPr>
        <w:t>https://doi.org/10.1016/s0140-6736(17)33102-1</w:t>
      </w:r>
      <w:r w:rsidR="000B3CF7">
        <w:rPr>
          <w:rStyle w:val="Hyperlink"/>
          <w:rFonts w:cs="Times New Roman"/>
          <w:sz w:val="20"/>
          <w:szCs w:val="20"/>
          <w:lang w:val="en-US"/>
        </w:rPr>
        <w:fldChar w:fldCharType="end"/>
      </w:r>
      <w:r w:rsidRPr="006270CF">
        <w:rPr>
          <w:rFonts w:cs="Times New Roman"/>
          <w:color w:val="auto"/>
          <w:sz w:val="20"/>
          <w:szCs w:val="20"/>
          <w:lang w:val="en-US"/>
        </w:rPr>
        <w:t>.</w:t>
      </w:r>
    </w:p>
    <w:p w14:paraId="3BF32658" w14:textId="77777777" w:rsidR="00070E87" w:rsidRPr="006270CF" w:rsidRDefault="00070E87" w:rsidP="00070E87">
      <w:pPr>
        <w:spacing w:after="240" w:line="240" w:lineRule="auto"/>
        <w:ind w:left="-11" w:firstLine="0"/>
        <w:jc w:val="left"/>
        <w:rPr>
          <w:rFonts w:cs="Times New Roman"/>
          <w:color w:val="auto"/>
          <w:sz w:val="20"/>
          <w:szCs w:val="20"/>
          <w:lang w:val="en-US"/>
        </w:rPr>
      </w:pPr>
      <w:r w:rsidRPr="006270CF">
        <w:rPr>
          <w:rFonts w:cs="Times New Roman"/>
          <w:color w:val="auto"/>
          <w:sz w:val="20"/>
          <w:szCs w:val="20"/>
          <w:lang w:val="en-US"/>
        </w:rPr>
        <w:t xml:space="preserve">MANN, T.; TOMIYAMA, A. J.; WESTLING, E.; LEW, A. M.; SAMUELS, B.; CHATMAN, J. Medicare's search for effective obesity treatments: diets are not the answer. </w:t>
      </w:r>
      <w:r w:rsidRPr="006270CF">
        <w:rPr>
          <w:rFonts w:cs="Times New Roman"/>
          <w:b/>
          <w:bCs/>
          <w:color w:val="auto"/>
          <w:sz w:val="20"/>
          <w:szCs w:val="20"/>
          <w:lang w:val="en-US"/>
        </w:rPr>
        <w:t>The American psychologist</w:t>
      </w:r>
      <w:r w:rsidRPr="006270CF">
        <w:rPr>
          <w:rFonts w:cs="Times New Roman"/>
          <w:color w:val="auto"/>
          <w:sz w:val="20"/>
          <w:szCs w:val="20"/>
          <w:lang w:val="en-US"/>
        </w:rPr>
        <w:t xml:space="preserve">, Washington, v. 62, n. 3, p.:220–33, 2007. Available in: </w:t>
      </w:r>
      <w:r w:rsidR="000B3CF7">
        <w:fldChar w:fldCharType="begin"/>
      </w:r>
      <w:r w:rsidR="000B3CF7">
        <w:instrText xml:space="preserve"> HYPERLINK "https://doi.org/10.1037/0003-066x.62.3.220" </w:instrText>
      </w:r>
      <w:r w:rsidR="000B3CF7">
        <w:fldChar w:fldCharType="separate"/>
      </w:r>
      <w:r w:rsidRPr="006270CF">
        <w:rPr>
          <w:rStyle w:val="Hyperlink"/>
          <w:rFonts w:cs="Times New Roman"/>
          <w:sz w:val="20"/>
          <w:szCs w:val="20"/>
          <w:lang w:val="en-US"/>
        </w:rPr>
        <w:t>https://doi.org/10.1037/0003-066x.62.3.220</w:t>
      </w:r>
      <w:r w:rsidR="000B3CF7">
        <w:rPr>
          <w:rStyle w:val="Hyperlink"/>
          <w:rFonts w:cs="Times New Roman"/>
          <w:sz w:val="20"/>
          <w:szCs w:val="20"/>
          <w:lang w:val="en-US"/>
        </w:rPr>
        <w:fldChar w:fldCharType="end"/>
      </w:r>
      <w:r w:rsidRPr="006270CF">
        <w:rPr>
          <w:rFonts w:cs="Times New Roman"/>
          <w:color w:val="auto"/>
          <w:sz w:val="20"/>
          <w:szCs w:val="20"/>
          <w:lang w:val="en-US"/>
        </w:rPr>
        <w:t>.</w:t>
      </w:r>
    </w:p>
    <w:p w14:paraId="7A12D64E" w14:textId="77777777" w:rsidR="00070E87" w:rsidRPr="006270CF" w:rsidRDefault="00070E87" w:rsidP="00070E87">
      <w:pPr>
        <w:spacing w:after="240" w:line="240" w:lineRule="auto"/>
        <w:ind w:left="-11" w:firstLine="0"/>
        <w:jc w:val="left"/>
        <w:rPr>
          <w:rFonts w:cs="Times New Roman"/>
          <w:color w:val="auto"/>
          <w:sz w:val="20"/>
          <w:szCs w:val="20"/>
          <w:lang w:val="en-US"/>
        </w:rPr>
      </w:pPr>
      <w:r w:rsidRPr="006270CF">
        <w:rPr>
          <w:rFonts w:cs="Times New Roman"/>
          <w:color w:val="auto"/>
          <w:sz w:val="20"/>
          <w:szCs w:val="20"/>
          <w:lang w:val="en-US"/>
        </w:rPr>
        <w:lastRenderedPageBreak/>
        <w:t xml:space="preserve">NISHTAR, S; GLUCKMAN, P.; ARMSTRONG, T. Ending Childhood Obesity: a time for action. </w:t>
      </w:r>
      <w:r w:rsidRPr="006270CF">
        <w:rPr>
          <w:rFonts w:cs="Times New Roman"/>
          <w:b/>
          <w:bCs/>
          <w:color w:val="auto"/>
          <w:sz w:val="20"/>
          <w:szCs w:val="20"/>
          <w:lang w:val="en-US"/>
        </w:rPr>
        <w:t>Lancet</w:t>
      </w:r>
      <w:r w:rsidRPr="006270CF">
        <w:rPr>
          <w:rFonts w:cs="Times New Roman"/>
          <w:color w:val="auto"/>
          <w:sz w:val="20"/>
          <w:szCs w:val="20"/>
          <w:lang w:val="en-US"/>
        </w:rPr>
        <w:t xml:space="preserve">, London, v. 387, n. 10021, p. 825-827, </w:t>
      </w:r>
      <w:proofErr w:type="spellStart"/>
      <w:r w:rsidRPr="006270CF">
        <w:rPr>
          <w:rFonts w:cs="Times New Roman"/>
          <w:color w:val="auto"/>
          <w:sz w:val="20"/>
          <w:szCs w:val="20"/>
          <w:lang w:val="en-US"/>
        </w:rPr>
        <w:t>fev</w:t>
      </w:r>
      <w:proofErr w:type="spellEnd"/>
      <w:r w:rsidRPr="006270CF">
        <w:rPr>
          <w:rFonts w:cs="Times New Roman"/>
          <w:color w:val="auto"/>
          <w:sz w:val="20"/>
          <w:szCs w:val="20"/>
          <w:lang w:val="en-US"/>
        </w:rPr>
        <w:t xml:space="preserve">. 2016. Available in: </w:t>
      </w:r>
      <w:r w:rsidR="000B3CF7">
        <w:fldChar w:fldCharType="begin"/>
      </w:r>
      <w:r w:rsidR="000B3CF7">
        <w:instrText xml:space="preserve"> HYPERLINK "https://doi.org/10.1016/s0140-6736(16)00140-9" </w:instrText>
      </w:r>
      <w:r w:rsidR="000B3CF7">
        <w:fldChar w:fldCharType="separate"/>
      </w:r>
      <w:r w:rsidRPr="006270CF">
        <w:rPr>
          <w:rStyle w:val="Hyperlink"/>
          <w:rFonts w:cs="Times New Roman"/>
          <w:sz w:val="20"/>
          <w:szCs w:val="20"/>
          <w:lang w:val="en-US"/>
        </w:rPr>
        <w:t>https://doi.org/10.1016/s0140-6736(16)00140-9</w:t>
      </w:r>
      <w:r w:rsidR="000B3CF7">
        <w:rPr>
          <w:rStyle w:val="Hyperlink"/>
          <w:rFonts w:cs="Times New Roman"/>
          <w:sz w:val="20"/>
          <w:szCs w:val="20"/>
          <w:lang w:val="en-US"/>
        </w:rPr>
        <w:fldChar w:fldCharType="end"/>
      </w:r>
      <w:r w:rsidRPr="006270CF">
        <w:rPr>
          <w:rFonts w:cs="Times New Roman"/>
          <w:color w:val="auto"/>
          <w:sz w:val="20"/>
          <w:szCs w:val="20"/>
          <w:lang w:val="en-US"/>
        </w:rPr>
        <w:t>.</w:t>
      </w:r>
    </w:p>
    <w:p w14:paraId="3FB47475" w14:textId="77777777" w:rsidR="00070E87" w:rsidRPr="006270CF" w:rsidRDefault="00070E87" w:rsidP="00070E87">
      <w:pPr>
        <w:spacing w:after="240" w:line="240" w:lineRule="auto"/>
        <w:ind w:left="-11" w:firstLine="0"/>
        <w:jc w:val="left"/>
        <w:rPr>
          <w:rFonts w:cs="Times New Roman"/>
          <w:color w:val="auto"/>
          <w:sz w:val="20"/>
          <w:szCs w:val="20"/>
          <w:lang w:val="en-US"/>
        </w:rPr>
      </w:pPr>
      <w:r w:rsidRPr="006270CF">
        <w:rPr>
          <w:rFonts w:cs="Times New Roman"/>
          <w:color w:val="auto"/>
          <w:sz w:val="20"/>
          <w:szCs w:val="20"/>
          <w:lang w:val="en-US"/>
        </w:rPr>
        <w:t xml:space="preserve">PATEL D. Pharmacotherapy for the management of obesity. </w:t>
      </w:r>
      <w:r w:rsidRPr="006270CF">
        <w:rPr>
          <w:rFonts w:cs="Times New Roman"/>
          <w:b/>
          <w:bCs/>
          <w:color w:val="auto"/>
          <w:sz w:val="20"/>
          <w:szCs w:val="20"/>
          <w:lang w:val="en-US"/>
        </w:rPr>
        <w:t>Metabolism</w:t>
      </w:r>
      <w:r w:rsidRPr="006270CF">
        <w:rPr>
          <w:rFonts w:cs="Times New Roman"/>
          <w:color w:val="auto"/>
          <w:sz w:val="20"/>
          <w:szCs w:val="20"/>
          <w:lang w:val="en-US"/>
        </w:rPr>
        <w:t xml:space="preserve">, Philadelphia, v. 64, n. 11, p. 1376-1385, </w:t>
      </w:r>
      <w:proofErr w:type="spellStart"/>
      <w:r w:rsidRPr="006270CF">
        <w:rPr>
          <w:rFonts w:cs="Times New Roman"/>
          <w:color w:val="auto"/>
          <w:sz w:val="20"/>
          <w:szCs w:val="20"/>
          <w:lang w:val="en-US"/>
        </w:rPr>
        <w:t>nov</w:t>
      </w:r>
      <w:proofErr w:type="spellEnd"/>
      <w:r w:rsidRPr="006270CF">
        <w:rPr>
          <w:rFonts w:cs="Times New Roman"/>
          <w:color w:val="auto"/>
          <w:sz w:val="20"/>
          <w:szCs w:val="20"/>
          <w:lang w:val="en-US"/>
        </w:rPr>
        <w:t xml:space="preserve"> 2015. Available in: </w:t>
      </w:r>
      <w:r w:rsidR="000B3CF7">
        <w:fldChar w:fldCharType="begin"/>
      </w:r>
      <w:r w:rsidR="000B3CF7">
        <w:instrText xml:space="preserve"> HYPERLINK "https://doi.org/10.1016/j.metabol.2015.08.001" </w:instrText>
      </w:r>
      <w:r w:rsidR="000B3CF7">
        <w:fldChar w:fldCharType="separate"/>
      </w:r>
      <w:r w:rsidRPr="006270CF">
        <w:rPr>
          <w:rStyle w:val="Hyperlink"/>
          <w:rFonts w:cs="Times New Roman"/>
          <w:sz w:val="20"/>
          <w:szCs w:val="20"/>
          <w:lang w:val="en-US"/>
        </w:rPr>
        <w:t>https://doi.org/10.1016/j.metabol.2015.08.001</w:t>
      </w:r>
      <w:r w:rsidR="000B3CF7">
        <w:rPr>
          <w:rStyle w:val="Hyperlink"/>
          <w:rFonts w:cs="Times New Roman"/>
          <w:sz w:val="20"/>
          <w:szCs w:val="20"/>
          <w:lang w:val="en-US"/>
        </w:rPr>
        <w:fldChar w:fldCharType="end"/>
      </w:r>
      <w:r w:rsidRPr="006270CF">
        <w:rPr>
          <w:rFonts w:cs="Times New Roman"/>
          <w:color w:val="auto"/>
          <w:sz w:val="20"/>
          <w:szCs w:val="20"/>
          <w:lang w:val="en-US"/>
        </w:rPr>
        <w:t>.</w:t>
      </w:r>
    </w:p>
    <w:p w14:paraId="08E48BBE" w14:textId="77777777" w:rsidR="00070E87" w:rsidRPr="006270CF" w:rsidRDefault="00070E87" w:rsidP="00070E87">
      <w:pPr>
        <w:spacing w:after="240" w:line="240" w:lineRule="auto"/>
        <w:ind w:left="-11" w:firstLine="0"/>
        <w:jc w:val="left"/>
        <w:rPr>
          <w:rFonts w:cs="Times New Roman"/>
          <w:color w:val="auto"/>
          <w:sz w:val="20"/>
          <w:szCs w:val="20"/>
          <w:lang w:val="en-US"/>
        </w:rPr>
      </w:pPr>
      <w:r w:rsidRPr="006270CF">
        <w:rPr>
          <w:rFonts w:cs="Times New Roman"/>
          <w:color w:val="auto"/>
          <w:sz w:val="20"/>
          <w:szCs w:val="20"/>
          <w:lang w:val="en-US"/>
        </w:rPr>
        <w:t xml:space="preserve">PI-SUNYER, X.; ASTRUP, A.; FUJIOKA, K.; et al. A randomized, controlled trial of 3.0 mg of liraglutide in weight management. </w:t>
      </w:r>
      <w:r w:rsidRPr="006270CF">
        <w:rPr>
          <w:rFonts w:cs="Times New Roman"/>
          <w:b/>
          <w:bCs/>
          <w:color w:val="auto"/>
          <w:sz w:val="20"/>
          <w:szCs w:val="20"/>
          <w:lang w:val="en-US"/>
        </w:rPr>
        <w:t>New England Journal of Medicine</w:t>
      </w:r>
      <w:r w:rsidRPr="006270CF">
        <w:rPr>
          <w:rFonts w:cs="Times New Roman"/>
          <w:color w:val="auto"/>
          <w:sz w:val="20"/>
          <w:szCs w:val="20"/>
          <w:lang w:val="en-US"/>
        </w:rPr>
        <w:t xml:space="preserve">, Boston, v. 373, n. 1, p. 11-22, 2015. Available in: </w:t>
      </w:r>
      <w:r w:rsidR="000B3CF7">
        <w:fldChar w:fldCharType="begin"/>
      </w:r>
      <w:r w:rsidR="000B3CF7">
        <w:instrText xml:space="preserve"> HYPERLINK "https://doi.org/10.1056/nejmoa1411892" </w:instrText>
      </w:r>
      <w:r w:rsidR="000B3CF7">
        <w:fldChar w:fldCharType="separate"/>
      </w:r>
      <w:r w:rsidRPr="006270CF">
        <w:rPr>
          <w:rStyle w:val="Hyperlink"/>
          <w:rFonts w:cs="Times New Roman"/>
          <w:sz w:val="20"/>
          <w:szCs w:val="20"/>
          <w:lang w:val="en-US"/>
        </w:rPr>
        <w:t>https://doi.org/10.1056/nejmoa1411892</w:t>
      </w:r>
      <w:r w:rsidR="000B3CF7">
        <w:rPr>
          <w:rStyle w:val="Hyperlink"/>
          <w:rFonts w:cs="Times New Roman"/>
          <w:sz w:val="20"/>
          <w:szCs w:val="20"/>
          <w:lang w:val="en-US"/>
        </w:rPr>
        <w:fldChar w:fldCharType="end"/>
      </w:r>
      <w:r w:rsidRPr="006270CF">
        <w:rPr>
          <w:rFonts w:cs="Times New Roman"/>
          <w:color w:val="auto"/>
          <w:sz w:val="20"/>
          <w:szCs w:val="20"/>
          <w:lang w:val="en-US"/>
        </w:rPr>
        <w:t>.</w:t>
      </w:r>
    </w:p>
    <w:p w14:paraId="42D1A654" w14:textId="77777777" w:rsidR="00070E87" w:rsidRPr="006270CF" w:rsidRDefault="00070E87" w:rsidP="00070E87">
      <w:pPr>
        <w:spacing w:after="240" w:line="240" w:lineRule="auto"/>
        <w:ind w:left="-11" w:firstLine="0"/>
        <w:jc w:val="left"/>
        <w:rPr>
          <w:rFonts w:cs="Times New Roman"/>
          <w:color w:val="auto"/>
          <w:sz w:val="20"/>
          <w:szCs w:val="20"/>
          <w:lang w:val="en-US"/>
        </w:rPr>
      </w:pPr>
      <w:r w:rsidRPr="006270CF">
        <w:rPr>
          <w:rFonts w:cs="Times New Roman"/>
          <w:color w:val="auto"/>
          <w:sz w:val="20"/>
          <w:szCs w:val="20"/>
          <w:lang w:val="en-US"/>
        </w:rPr>
        <w:t xml:space="preserve">PROSPECTIVE STUDIES COLLABORATION; WHITLOCK, G. et al. Body-Mass Index and Cause-Specific Mortality in 900 000 Adults: Collaborative Analyses of 57 Prospective Studies. </w:t>
      </w:r>
      <w:r w:rsidRPr="006270CF">
        <w:rPr>
          <w:rFonts w:cs="Times New Roman"/>
          <w:b/>
          <w:bCs/>
          <w:color w:val="auto"/>
          <w:sz w:val="20"/>
          <w:szCs w:val="20"/>
          <w:lang w:val="en-US"/>
        </w:rPr>
        <w:t>Lancet</w:t>
      </w:r>
      <w:r w:rsidRPr="006270CF">
        <w:rPr>
          <w:rFonts w:cs="Times New Roman"/>
          <w:color w:val="auto"/>
          <w:sz w:val="20"/>
          <w:szCs w:val="20"/>
          <w:lang w:val="en-US"/>
        </w:rPr>
        <w:t xml:space="preserve">, London, v. 373, n. 9669, p. 1083-1096, mar. 2009. Available in: </w:t>
      </w:r>
      <w:r w:rsidR="000B3CF7">
        <w:fldChar w:fldCharType="begin"/>
      </w:r>
      <w:r w:rsidR="000B3CF7">
        <w:instrText xml:space="preserve"> HYPERLINK "https://doi.org/10.1016/s0140-6736(09)60318-4" </w:instrText>
      </w:r>
      <w:r w:rsidR="000B3CF7">
        <w:fldChar w:fldCharType="separate"/>
      </w:r>
      <w:r w:rsidRPr="006270CF">
        <w:rPr>
          <w:rStyle w:val="Hyperlink"/>
          <w:rFonts w:cs="Times New Roman"/>
          <w:sz w:val="20"/>
          <w:szCs w:val="20"/>
          <w:lang w:val="en-US"/>
        </w:rPr>
        <w:t>https://doi.org/10.1016/s0140-6736(09)60318-4</w:t>
      </w:r>
      <w:r w:rsidR="000B3CF7">
        <w:rPr>
          <w:rStyle w:val="Hyperlink"/>
          <w:rFonts w:cs="Times New Roman"/>
          <w:sz w:val="20"/>
          <w:szCs w:val="20"/>
          <w:lang w:val="en-US"/>
        </w:rPr>
        <w:fldChar w:fldCharType="end"/>
      </w:r>
      <w:r w:rsidRPr="006270CF">
        <w:rPr>
          <w:rFonts w:cs="Times New Roman"/>
          <w:color w:val="auto"/>
          <w:sz w:val="20"/>
          <w:szCs w:val="20"/>
          <w:lang w:val="en-US"/>
        </w:rPr>
        <w:t>.</w:t>
      </w:r>
    </w:p>
    <w:p w14:paraId="7FE6C817" w14:textId="77777777" w:rsidR="00070E87" w:rsidRPr="006270CF" w:rsidRDefault="00070E87" w:rsidP="00070E87">
      <w:pPr>
        <w:spacing w:after="240" w:line="240" w:lineRule="auto"/>
        <w:ind w:left="-11" w:firstLine="0"/>
        <w:jc w:val="left"/>
        <w:rPr>
          <w:rFonts w:cs="Times New Roman"/>
          <w:color w:val="auto"/>
          <w:sz w:val="20"/>
          <w:szCs w:val="20"/>
          <w:lang w:val="en-US"/>
        </w:rPr>
      </w:pPr>
      <w:r w:rsidRPr="006270CF">
        <w:rPr>
          <w:rFonts w:cs="Times New Roman"/>
          <w:color w:val="auto"/>
          <w:sz w:val="20"/>
          <w:szCs w:val="20"/>
          <w:lang w:val="en-US"/>
        </w:rPr>
        <w:t xml:space="preserve">STANFORD, F. C. Controversial Issues: A Practical Guide to the Use of Weight Loss Medications after Bariatric Surgery for Weight Regain or Inadequate Weight Loss. </w:t>
      </w:r>
      <w:r w:rsidRPr="006270CF">
        <w:rPr>
          <w:rFonts w:cs="Times New Roman"/>
          <w:b/>
          <w:bCs/>
          <w:color w:val="auto"/>
          <w:sz w:val="20"/>
          <w:szCs w:val="20"/>
          <w:lang w:val="en-US"/>
        </w:rPr>
        <w:t>Surgery for obesity and related diseases</w:t>
      </w:r>
      <w:r w:rsidRPr="006270CF">
        <w:rPr>
          <w:rFonts w:cs="Times New Roman"/>
          <w:color w:val="auto"/>
          <w:sz w:val="20"/>
          <w:szCs w:val="20"/>
          <w:lang w:val="en-US"/>
        </w:rPr>
        <w:t xml:space="preserve">, New York, v. 15, n. 1, p. 128-132, </w:t>
      </w:r>
      <w:proofErr w:type="spellStart"/>
      <w:r w:rsidRPr="006270CF">
        <w:rPr>
          <w:rFonts w:cs="Times New Roman"/>
          <w:color w:val="auto"/>
          <w:sz w:val="20"/>
          <w:szCs w:val="20"/>
          <w:lang w:val="en-US"/>
        </w:rPr>
        <w:t>jan.</w:t>
      </w:r>
      <w:proofErr w:type="spellEnd"/>
      <w:r w:rsidRPr="006270CF">
        <w:rPr>
          <w:rFonts w:cs="Times New Roman"/>
          <w:color w:val="auto"/>
          <w:sz w:val="20"/>
          <w:szCs w:val="20"/>
          <w:lang w:val="en-US"/>
        </w:rPr>
        <w:t xml:space="preserve"> 2019. Available in: </w:t>
      </w:r>
      <w:hyperlink r:id="rId11" w:history="1">
        <w:r w:rsidRPr="006270CF">
          <w:rPr>
            <w:rStyle w:val="Hyperlink"/>
            <w:rFonts w:cs="Times New Roman"/>
            <w:sz w:val="20"/>
            <w:szCs w:val="20"/>
            <w:lang w:val="en-US"/>
          </w:rPr>
          <w:t>https://doi.org/10.1016/j.soard.2018.10.020</w:t>
        </w:r>
      </w:hyperlink>
      <w:r w:rsidRPr="006270CF">
        <w:rPr>
          <w:rFonts w:cs="Times New Roman"/>
          <w:color w:val="auto"/>
          <w:sz w:val="20"/>
          <w:szCs w:val="20"/>
          <w:lang w:val="en-US"/>
        </w:rPr>
        <w:t>.</w:t>
      </w:r>
    </w:p>
    <w:p w14:paraId="539729EB" w14:textId="77777777" w:rsidR="00070E87" w:rsidRPr="006270CF" w:rsidRDefault="00070E87" w:rsidP="00070E87">
      <w:pPr>
        <w:spacing w:after="240" w:line="240" w:lineRule="auto"/>
        <w:ind w:left="-11" w:firstLine="0"/>
        <w:jc w:val="left"/>
        <w:rPr>
          <w:rFonts w:cs="Times New Roman"/>
          <w:color w:val="auto"/>
          <w:sz w:val="20"/>
          <w:szCs w:val="20"/>
          <w:lang w:val="en-US"/>
        </w:rPr>
      </w:pPr>
      <w:r w:rsidRPr="006270CF">
        <w:rPr>
          <w:rFonts w:cs="Times New Roman"/>
          <w:color w:val="auto"/>
          <w:sz w:val="20"/>
          <w:szCs w:val="20"/>
          <w:lang w:val="en-US"/>
        </w:rPr>
        <w:t xml:space="preserve">TSAI, A. G.; WADDEN, T. A. The Evolution of very-low-calorie diets: an update and meta-analysis. </w:t>
      </w:r>
      <w:r w:rsidRPr="006270CF">
        <w:rPr>
          <w:rFonts w:cs="Times New Roman"/>
          <w:b/>
          <w:bCs/>
          <w:color w:val="auto"/>
          <w:sz w:val="20"/>
          <w:szCs w:val="20"/>
          <w:lang w:val="en-US"/>
        </w:rPr>
        <w:t>Obesity (Silver Spring, MD.)</w:t>
      </w:r>
      <w:r w:rsidRPr="006270CF">
        <w:rPr>
          <w:rFonts w:cs="Times New Roman"/>
          <w:color w:val="auto"/>
          <w:sz w:val="20"/>
          <w:szCs w:val="20"/>
          <w:lang w:val="en-US"/>
        </w:rPr>
        <w:t xml:space="preserve">, Silver Spring, v. 14, n. 8, p. 1283-1293, 2006. Available in: </w:t>
      </w:r>
      <w:hyperlink r:id="rId12" w:history="1">
        <w:r w:rsidRPr="006270CF">
          <w:rPr>
            <w:rStyle w:val="Hyperlink"/>
            <w:rFonts w:cs="Times New Roman"/>
            <w:sz w:val="20"/>
            <w:szCs w:val="20"/>
            <w:lang w:val="en-US"/>
          </w:rPr>
          <w:t>https://doi.org/10.1038/oby.2006.146</w:t>
        </w:r>
      </w:hyperlink>
      <w:r w:rsidRPr="006270CF">
        <w:rPr>
          <w:rFonts w:cs="Times New Roman"/>
          <w:color w:val="auto"/>
          <w:sz w:val="20"/>
          <w:szCs w:val="20"/>
          <w:lang w:val="en-US"/>
        </w:rPr>
        <w:t>.</w:t>
      </w:r>
    </w:p>
    <w:p w14:paraId="692FF71B" w14:textId="77777777" w:rsidR="00070E87" w:rsidRPr="006270CF" w:rsidRDefault="00070E87" w:rsidP="00070E87">
      <w:pPr>
        <w:spacing w:after="240" w:line="240" w:lineRule="auto"/>
        <w:ind w:left="-11" w:firstLine="0"/>
        <w:jc w:val="left"/>
        <w:rPr>
          <w:rFonts w:cs="Times New Roman"/>
          <w:color w:val="auto"/>
          <w:sz w:val="20"/>
          <w:szCs w:val="20"/>
          <w:lang w:val="en-US"/>
        </w:rPr>
      </w:pPr>
      <w:r w:rsidRPr="006270CF">
        <w:rPr>
          <w:rFonts w:cs="Times New Roman"/>
          <w:color w:val="auto"/>
          <w:sz w:val="20"/>
          <w:szCs w:val="20"/>
          <w:lang w:val="en-US"/>
        </w:rPr>
        <w:t xml:space="preserve">UPADHYAY, J.; FARR, O.; PERAKAKIS, N.; GHALY, W.; MANTZOROS, C. Obesity as a disease. </w:t>
      </w:r>
      <w:r w:rsidRPr="006270CF">
        <w:rPr>
          <w:rFonts w:cs="Times New Roman"/>
          <w:b/>
          <w:bCs/>
          <w:color w:val="auto"/>
          <w:sz w:val="20"/>
          <w:szCs w:val="20"/>
          <w:lang w:val="en-US"/>
        </w:rPr>
        <w:t>The Medical clinics of North America</w:t>
      </w:r>
      <w:r w:rsidRPr="006270CF">
        <w:rPr>
          <w:rFonts w:cs="Times New Roman"/>
          <w:color w:val="auto"/>
          <w:sz w:val="20"/>
          <w:szCs w:val="20"/>
          <w:lang w:val="en-US"/>
        </w:rPr>
        <w:t xml:space="preserve">, Philadelphia, v. 102, n. 1, p. 13-33, 2018. Available in: </w:t>
      </w:r>
      <w:hyperlink r:id="rId13" w:history="1">
        <w:r w:rsidRPr="006270CF">
          <w:rPr>
            <w:rStyle w:val="Hyperlink"/>
            <w:rFonts w:cs="Times New Roman"/>
            <w:sz w:val="20"/>
            <w:szCs w:val="20"/>
            <w:lang w:val="en-US"/>
          </w:rPr>
          <w:t>https://doi.org/10.1016/j.mcna.2017.08.004</w:t>
        </w:r>
      </w:hyperlink>
      <w:r w:rsidRPr="006270CF">
        <w:rPr>
          <w:rFonts w:cs="Times New Roman"/>
          <w:color w:val="auto"/>
          <w:sz w:val="20"/>
          <w:szCs w:val="20"/>
          <w:lang w:val="en-US"/>
        </w:rPr>
        <w:t>.</w:t>
      </w:r>
    </w:p>
    <w:p w14:paraId="7027C5BC" w14:textId="77777777" w:rsidR="00070E87" w:rsidRPr="006270CF" w:rsidRDefault="00070E87" w:rsidP="00070E87">
      <w:pPr>
        <w:spacing w:after="240" w:line="240" w:lineRule="auto"/>
        <w:ind w:left="-11" w:firstLine="0"/>
        <w:jc w:val="left"/>
        <w:rPr>
          <w:rFonts w:cs="Times New Roman"/>
          <w:color w:val="auto"/>
          <w:sz w:val="20"/>
          <w:szCs w:val="20"/>
          <w:lang w:val="en-US"/>
        </w:rPr>
      </w:pPr>
      <w:r w:rsidRPr="006270CF">
        <w:rPr>
          <w:rFonts w:cs="Times New Roman"/>
          <w:color w:val="auto"/>
          <w:sz w:val="20"/>
          <w:szCs w:val="20"/>
          <w:lang w:val="en-US"/>
        </w:rPr>
        <w:t xml:space="preserve">WADDEN, T. A.; HOLLANDER, P.; KLEIN, S.; et al. Weight maintenance and additional weight loss with liraglutide after low-calorie-diet-induced weight loss: The SCALE Maintenance Randomized Study. </w:t>
      </w:r>
      <w:r w:rsidRPr="006270CF">
        <w:rPr>
          <w:rFonts w:cs="Times New Roman"/>
          <w:b/>
          <w:bCs/>
          <w:color w:val="auto"/>
          <w:sz w:val="20"/>
          <w:szCs w:val="20"/>
          <w:lang w:val="en-US"/>
        </w:rPr>
        <w:t>International journal of obesity</w:t>
      </w:r>
      <w:r w:rsidRPr="006270CF">
        <w:rPr>
          <w:rFonts w:cs="Times New Roman"/>
          <w:color w:val="auto"/>
          <w:sz w:val="20"/>
          <w:szCs w:val="20"/>
          <w:lang w:val="en-US"/>
        </w:rPr>
        <w:t xml:space="preserve">, London, v. 37, n. 11, p. 1443-1451, 2013. Available in: </w:t>
      </w:r>
      <w:hyperlink r:id="rId14" w:history="1">
        <w:r w:rsidRPr="006270CF">
          <w:rPr>
            <w:rStyle w:val="Hyperlink"/>
            <w:rFonts w:cs="Times New Roman"/>
            <w:sz w:val="20"/>
            <w:szCs w:val="20"/>
            <w:lang w:val="en-US"/>
          </w:rPr>
          <w:t>https://doi.org/10.1038/ijo.2013.120</w:t>
        </w:r>
      </w:hyperlink>
      <w:r w:rsidRPr="006270CF">
        <w:rPr>
          <w:rFonts w:cs="Times New Roman"/>
          <w:color w:val="auto"/>
          <w:sz w:val="20"/>
          <w:szCs w:val="20"/>
          <w:lang w:val="en-US"/>
        </w:rPr>
        <w:t>.</w:t>
      </w:r>
    </w:p>
    <w:p w14:paraId="40D9B1F6" w14:textId="77777777" w:rsidR="00070E87" w:rsidRPr="006270CF" w:rsidRDefault="00070E87" w:rsidP="00070E87">
      <w:pPr>
        <w:spacing w:after="240" w:line="240" w:lineRule="auto"/>
        <w:ind w:left="-11" w:firstLine="0"/>
        <w:jc w:val="left"/>
        <w:rPr>
          <w:rFonts w:cs="Times New Roman"/>
          <w:color w:val="auto"/>
          <w:sz w:val="20"/>
          <w:szCs w:val="20"/>
          <w:lang w:val="en-US"/>
        </w:rPr>
      </w:pPr>
      <w:r w:rsidRPr="006270CF">
        <w:rPr>
          <w:rFonts w:cs="Times New Roman"/>
          <w:color w:val="auto"/>
          <w:sz w:val="20"/>
          <w:szCs w:val="20"/>
          <w:lang w:val="en-US"/>
        </w:rPr>
        <w:t xml:space="preserve">WADDEN, T. A.; NEIBERG, R. H.; WING, R. R.; et al. Four-year weight losses in the look AHEAD Study: factors associated with long-term success. </w:t>
      </w:r>
      <w:r w:rsidRPr="006270CF">
        <w:rPr>
          <w:rFonts w:cs="Times New Roman"/>
          <w:b/>
          <w:bCs/>
          <w:color w:val="auto"/>
          <w:sz w:val="20"/>
          <w:szCs w:val="20"/>
          <w:lang w:val="en-US"/>
        </w:rPr>
        <w:t>Obesity (Silver Spring, MD.)</w:t>
      </w:r>
      <w:r w:rsidRPr="006270CF">
        <w:rPr>
          <w:rFonts w:cs="Times New Roman"/>
          <w:color w:val="auto"/>
          <w:sz w:val="20"/>
          <w:szCs w:val="20"/>
          <w:lang w:val="en-US"/>
        </w:rPr>
        <w:t xml:space="preserve">, Silver Spring, v. 19, n. 10, p. 1987-1998, 2011. Available in: </w:t>
      </w:r>
      <w:hyperlink r:id="rId15" w:history="1">
        <w:r w:rsidRPr="006270CF">
          <w:rPr>
            <w:rStyle w:val="Hyperlink"/>
            <w:rFonts w:cs="Times New Roman"/>
            <w:sz w:val="20"/>
            <w:szCs w:val="20"/>
            <w:lang w:val="en-US"/>
          </w:rPr>
          <w:t>https://doi.org/10.1038/oby.2011.230</w:t>
        </w:r>
      </w:hyperlink>
      <w:r w:rsidRPr="006270CF">
        <w:rPr>
          <w:rFonts w:cs="Times New Roman"/>
          <w:color w:val="auto"/>
          <w:sz w:val="20"/>
          <w:szCs w:val="20"/>
          <w:lang w:val="en-US"/>
        </w:rPr>
        <w:t>.</w:t>
      </w:r>
    </w:p>
    <w:sectPr w:rsidR="00070E87" w:rsidRPr="006270CF" w:rsidSect="00354FD8">
      <w:headerReference w:type="default" r:id="rId16"/>
      <w:footerReference w:type="default" r:id="rId17"/>
      <w:pgSz w:w="11906" w:h="16838"/>
      <w:pgMar w:top="1701" w:right="1418" w:bottom="1418" w:left="1418" w:header="340" w:footer="73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26D2A" w14:textId="77777777" w:rsidR="00C47A47" w:rsidRDefault="00DB0951">
      <w:pPr>
        <w:spacing w:line="240" w:lineRule="auto"/>
      </w:pPr>
      <w:r>
        <w:separator/>
      </w:r>
    </w:p>
  </w:endnote>
  <w:endnote w:type="continuationSeparator" w:id="0">
    <w:p w14:paraId="41A87ED8" w14:textId="77777777" w:rsidR="00C47A47" w:rsidRDefault="00DB09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;ＭＳ 明朝"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Arial"/>
    <w:charset w:val="00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BB9F9" w14:textId="5CEB2167" w:rsidR="00EB5221" w:rsidRPr="00381A9B" w:rsidRDefault="00381A9B" w:rsidP="00381A9B">
    <w:pPr>
      <w:pStyle w:val="Rodap"/>
      <w:spacing w:line="240" w:lineRule="auto"/>
      <w:ind w:firstLine="0"/>
      <w:jc w:val="center"/>
      <w:rPr>
        <w:rFonts w:ascii="Arial" w:hAnsi="Arial" w:cs="Arial"/>
        <w:sz w:val="16"/>
        <w:szCs w:val="16"/>
      </w:rPr>
    </w:pPr>
    <w:r w:rsidRPr="00381A9B">
      <w:rPr>
        <w:rFonts w:ascii="Arial" w:hAnsi="Arial" w:cs="Arial"/>
        <w:i/>
        <w:sz w:val="16"/>
        <w:szCs w:val="16"/>
      </w:rPr>
      <w:t>Rua 26, n. 521, Setor Jardim Santo Antônio, Goiânia-GO. CEP 74853-070. Fone: (62)3201-3</w:t>
    </w:r>
    <w:r w:rsidRPr="00381A9B">
      <w:rPr>
        <w:rFonts w:ascii="Arial" w:eastAsiaTheme="minorHAnsi" w:hAnsi="Arial" w:cs="Arial"/>
        <w:i/>
        <w:color w:val="auto"/>
        <w:sz w:val="16"/>
        <w:szCs w:val="16"/>
        <w:lang w:eastAsia="en-US" w:bidi="ar-SA"/>
      </w:rPr>
      <w:t>616.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D2C75" w14:textId="77777777" w:rsidR="00C47A47" w:rsidRDefault="00DB0951">
      <w:pPr>
        <w:spacing w:line="240" w:lineRule="auto"/>
      </w:pPr>
      <w:r>
        <w:separator/>
      </w:r>
    </w:p>
  </w:footnote>
  <w:footnote w:type="continuationSeparator" w:id="0">
    <w:p w14:paraId="5CF09463" w14:textId="77777777" w:rsidR="00C47A47" w:rsidRDefault="00DB09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F7938" w14:textId="77777777" w:rsidR="00381A9B" w:rsidRDefault="00381A9B" w:rsidP="00381A9B">
    <w:pPr>
      <w:jc w:val="center"/>
      <w:rPr>
        <w:rFonts w:cs="Times New Roman"/>
      </w:rPr>
    </w:pPr>
    <w:r>
      <w:rPr>
        <w:noProof/>
      </w:rPr>
      <w:drawing>
        <wp:inline distT="0" distB="0" distL="0" distR="0" wp14:anchorId="45A6F73E" wp14:editId="270CC43A">
          <wp:extent cx="3218180" cy="850306"/>
          <wp:effectExtent l="0" t="0" r="1270" b="6985"/>
          <wp:docPr id="1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58550" cy="860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FA5C8C" w14:textId="5E8FAFD6" w:rsidR="00381A9B" w:rsidRPr="00381A9B" w:rsidRDefault="00381A9B" w:rsidP="00381A9B">
    <w:pPr>
      <w:spacing w:line="240" w:lineRule="auto"/>
      <w:jc w:val="center"/>
      <w:rPr>
        <w:rFonts w:ascii="Arial" w:hAnsi="Arial" w:cs="Arial"/>
        <w:b/>
        <w:bCs/>
        <w:sz w:val="16"/>
        <w:szCs w:val="16"/>
      </w:rPr>
    </w:pPr>
    <w:r w:rsidRPr="00381A9B">
      <w:rPr>
        <w:rFonts w:ascii="Arial" w:hAnsi="Arial" w:cs="Arial"/>
        <w:b/>
        <w:bCs/>
        <w:sz w:val="16"/>
        <w:szCs w:val="16"/>
      </w:rPr>
      <w:t>SUPERINTENDÊNCIA DA ESCOLA DE SAÚDE DE GOIÁS</w:t>
    </w:r>
  </w:p>
  <w:p w14:paraId="49597DE8" w14:textId="7D822567" w:rsidR="00381A9B" w:rsidRPr="00381A9B" w:rsidRDefault="00381A9B" w:rsidP="00381A9B">
    <w:pPr>
      <w:spacing w:line="240" w:lineRule="auto"/>
      <w:jc w:val="center"/>
      <w:rPr>
        <w:rFonts w:ascii="Arial" w:hAnsi="Arial" w:cs="Arial"/>
        <w:b/>
        <w:bCs/>
        <w:sz w:val="16"/>
        <w:szCs w:val="16"/>
      </w:rPr>
    </w:pPr>
    <w:r w:rsidRPr="00381A9B">
      <w:rPr>
        <w:rFonts w:ascii="Arial" w:hAnsi="Arial" w:cs="Arial"/>
        <w:b/>
        <w:bCs/>
        <w:sz w:val="16"/>
        <w:szCs w:val="16"/>
      </w:rPr>
      <w:t>GERÊNCIA DE PESQUISA E INOVAÇÃO</w:t>
    </w:r>
  </w:p>
  <w:p w14:paraId="56BD1C6F" w14:textId="42FB7F42" w:rsidR="00381A9B" w:rsidRPr="00381A9B" w:rsidRDefault="00381A9B" w:rsidP="00381A9B">
    <w:pPr>
      <w:spacing w:line="240" w:lineRule="auto"/>
      <w:jc w:val="center"/>
      <w:rPr>
        <w:rFonts w:ascii="Arial" w:hAnsi="Arial" w:cs="Arial"/>
        <w:b/>
        <w:bCs/>
        <w:sz w:val="16"/>
        <w:szCs w:val="16"/>
      </w:rPr>
    </w:pPr>
    <w:r w:rsidRPr="00381A9B">
      <w:rPr>
        <w:rFonts w:ascii="Arial" w:hAnsi="Arial" w:cs="Arial"/>
        <w:b/>
        <w:bCs/>
        <w:sz w:val="16"/>
        <w:szCs w:val="16"/>
      </w:rPr>
      <w:t xml:space="preserve">Comissão Estadual de Incorporação de Tecnologias em Saúde </w:t>
    </w:r>
    <w:r w:rsidR="00075BD7">
      <w:rPr>
        <w:rFonts w:ascii="Arial" w:hAnsi="Arial" w:cs="Arial"/>
        <w:b/>
        <w:bCs/>
        <w:sz w:val="16"/>
        <w:szCs w:val="16"/>
      </w:rPr>
      <w:t xml:space="preserve">de Goiás </w:t>
    </w:r>
    <w:r w:rsidRPr="00381A9B">
      <w:rPr>
        <w:rFonts w:ascii="Arial" w:hAnsi="Arial" w:cs="Arial"/>
        <w:b/>
        <w:bCs/>
        <w:sz w:val="16"/>
        <w:szCs w:val="16"/>
      </w:rPr>
      <w:t>– CEITS-GO</w:t>
    </w:r>
  </w:p>
  <w:p w14:paraId="2FF8A34B" w14:textId="77777777" w:rsidR="00381A9B" w:rsidRPr="00381A9B" w:rsidRDefault="00381A9B" w:rsidP="00381A9B">
    <w:pPr>
      <w:spacing w:line="240" w:lineRule="auto"/>
      <w:jc w:val="right"/>
      <w:rPr>
        <w:rFonts w:ascii="Arial" w:hAnsi="Arial" w:cs="Arial"/>
        <w:b/>
        <w:bCs/>
        <w:i/>
        <w:iCs/>
        <w:sz w:val="20"/>
        <w:szCs w:val="20"/>
      </w:rPr>
    </w:pPr>
    <w:r w:rsidRPr="00381A9B">
      <w:rPr>
        <w:rFonts w:ascii="Arial" w:hAnsi="Arial" w:cs="Arial"/>
        <w:b/>
        <w:bCs/>
        <w:i/>
        <w:iCs/>
        <w:sz w:val="20"/>
        <w:szCs w:val="20"/>
      </w:rPr>
      <w:fldChar w:fldCharType="begin"/>
    </w:r>
    <w:r w:rsidRPr="00381A9B">
      <w:rPr>
        <w:rFonts w:ascii="Arial" w:hAnsi="Arial" w:cs="Arial"/>
        <w:b/>
        <w:bCs/>
        <w:i/>
        <w:iCs/>
        <w:sz w:val="20"/>
        <w:szCs w:val="20"/>
      </w:rPr>
      <w:instrText>PAGE</w:instrText>
    </w:r>
    <w:r w:rsidRPr="00381A9B">
      <w:rPr>
        <w:rFonts w:ascii="Arial" w:hAnsi="Arial" w:cs="Arial"/>
        <w:b/>
        <w:bCs/>
        <w:i/>
        <w:iCs/>
        <w:sz w:val="20"/>
        <w:szCs w:val="20"/>
      </w:rPr>
      <w:fldChar w:fldCharType="separate"/>
    </w:r>
    <w:r w:rsidRPr="00381A9B">
      <w:rPr>
        <w:rFonts w:ascii="Arial" w:hAnsi="Arial" w:cs="Arial"/>
        <w:b/>
        <w:bCs/>
        <w:i/>
        <w:iCs/>
        <w:sz w:val="20"/>
        <w:szCs w:val="20"/>
      </w:rPr>
      <w:t>1</w:t>
    </w:r>
    <w:r w:rsidRPr="00381A9B">
      <w:rPr>
        <w:rFonts w:ascii="Arial" w:hAnsi="Arial" w:cs="Arial"/>
        <w:b/>
        <w:bCs/>
        <w:i/>
        <w:iCs/>
        <w:sz w:val="20"/>
        <w:szCs w:val="20"/>
      </w:rPr>
      <w:fldChar w:fldCharType="end"/>
    </w:r>
  </w:p>
  <w:p w14:paraId="709D4D55" w14:textId="01FDC778" w:rsidR="00381A9B" w:rsidRPr="00354FD8" w:rsidRDefault="00381A9B" w:rsidP="00381A9B">
    <w:pPr>
      <w:spacing w:line="240" w:lineRule="auto"/>
      <w:jc w:val="right"/>
      <w:rPr>
        <w:rFonts w:ascii="Arial" w:hAnsi="Arial" w:cs="Arial"/>
      </w:rPr>
    </w:pPr>
  </w:p>
  <w:p w14:paraId="7FD9EA7B" w14:textId="77777777" w:rsidR="00316CBD" w:rsidRPr="00354FD8" w:rsidRDefault="00316CBD" w:rsidP="00381A9B">
    <w:pPr>
      <w:spacing w:line="240" w:lineRule="auto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7E11"/>
    <w:multiLevelType w:val="hybridMultilevel"/>
    <w:tmpl w:val="4E5CAA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F7C16"/>
    <w:multiLevelType w:val="multilevel"/>
    <w:tmpl w:val="3E384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0DB4266"/>
    <w:multiLevelType w:val="hybridMultilevel"/>
    <w:tmpl w:val="BB6A831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8302A9"/>
    <w:multiLevelType w:val="multilevel"/>
    <w:tmpl w:val="84B45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3816973"/>
    <w:multiLevelType w:val="hybridMultilevel"/>
    <w:tmpl w:val="4AB2099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832669"/>
    <w:multiLevelType w:val="hybridMultilevel"/>
    <w:tmpl w:val="6A3AA28C"/>
    <w:lvl w:ilvl="0" w:tplc="0416000F">
      <w:start w:val="1"/>
      <w:numFmt w:val="decimal"/>
      <w:lvlText w:val="%1."/>
      <w:lvlJc w:val="left"/>
      <w:pPr>
        <w:ind w:left="709" w:hanging="360"/>
      </w:pPr>
    </w:lvl>
    <w:lvl w:ilvl="1" w:tplc="04160019" w:tentative="1">
      <w:start w:val="1"/>
      <w:numFmt w:val="lowerLetter"/>
      <w:lvlText w:val="%2."/>
      <w:lvlJc w:val="left"/>
      <w:pPr>
        <w:ind w:left="1429" w:hanging="360"/>
      </w:pPr>
    </w:lvl>
    <w:lvl w:ilvl="2" w:tplc="0416001B" w:tentative="1">
      <w:start w:val="1"/>
      <w:numFmt w:val="lowerRoman"/>
      <w:lvlText w:val="%3."/>
      <w:lvlJc w:val="right"/>
      <w:pPr>
        <w:ind w:left="2149" w:hanging="180"/>
      </w:pPr>
    </w:lvl>
    <w:lvl w:ilvl="3" w:tplc="0416000F" w:tentative="1">
      <w:start w:val="1"/>
      <w:numFmt w:val="decimal"/>
      <w:lvlText w:val="%4."/>
      <w:lvlJc w:val="left"/>
      <w:pPr>
        <w:ind w:left="2869" w:hanging="360"/>
      </w:pPr>
    </w:lvl>
    <w:lvl w:ilvl="4" w:tplc="04160019" w:tentative="1">
      <w:start w:val="1"/>
      <w:numFmt w:val="lowerLetter"/>
      <w:lvlText w:val="%5."/>
      <w:lvlJc w:val="left"/>
      <w:pPr>
        <w:ind w:left="3589" w:hanging="360"/>
      </w:pPr>
    </w:lvl>
    <w:lvl w:ilvl="5" w:tplc="0416001B" w:tentative="1">
      <w:start w:val="1"/>
      <w:numFmt w:val="lowerRoman"/>
      <w:lvlText w:val="%6."/>
      <w:lvlJc w:val="right"/>
      <w:pPr>
        <w:ind w:left="4309" w:hanging="180"/>
      </w:pPr>
    </w:lvl>
    <w:lvl w:ilvl="6" w:tplc="0416000F" w:tentative="1">
      <w:start w:val="1"/>
      <w:numFmt w:val="decimal"/>
      <w:lvlText w:val="%7."/>
      <w:lvlJc w:val="left"/>
      <w:pPr>
        <w:ind w:left="5029" w:hanging="360"/>
      </w:pPr>
    </w:lvl>
    <w:lvl w:ilvl="7" w:tplc="04160019" w:tentative="1">
      <w:start w:val="1"/>
      <w:numFmt w:val="lowerLetter"/>
      <w:lvlText w:val="%8."/>
      <w:lvlJc w:val="left"/>
      <w:pPr>
        <w:ind w:left="5749" w:hanging="360"/>
      </w:pPr>
    </w:lvl>
    <w:lvl w:ilvl="8" w:tplc="0416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1D48017E"/>
    <w:multiLevelType w:val="hybridMultilevel"/>
    <w:tmpl w:val="DB968A6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1E095B"/>
    <w:multiLevelType w:val="hybridMultilevel"/>
    <w:tmpl w:val="0E9248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17E49"/>
    <w:multiLevelType w:val="multilevel"/>
    <w:tmpl w:val="1F08CDFC"/>
    <w:lvl w:ilvl="0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69"/>
        </w:tabs>
        <w:ind w:left="106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28F20595"/>
    <w:multiLevelType w:val="multilevel"/>
    <w:tmpl w:val="BBAAE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30876540"/>
    <w:multiLevelType w:val="multilevel"/>
    <w:tmpl w:val="3C9E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34067FE2"/>
    <w:multiLevelType w:val="hybridMultilevel"/>
    <w:tmpl w:val="BA5ABF4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7756E4"/>
    <w:multiLevelType w:val="multilevel"/>
    <w:tmpl w:val="5C9683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45440C9C"/>
    <w:multiLevelType w:val="hybridMultilevel"/>
    <w:tmpl w:val="6B1A5B96"/>
    <w:lvl w:ilvl="0" w:tplc="0F7C6F1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22488E6C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3341F0"/>
    <w:multiLevelType w:val="hybridMultilevel"/>
    <w:tmpl w:val="044AE0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1724FE"/>
    <w:multiLevelType w:val="hybridMultilevel"/>
    <w:tmpl w:val="CC4CF4D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05B677F"/>
    <w:multiLevelType w:val="multilevel"/>
    <w:tmpl w:val="7102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52327EF6"/>
    <w:multiLevelType w:val="hybridMultilevel"/>
    <w:tmpl w:val="BAA49774"/>
    <w:lvl w:ilvl="0" w:tplc="F058F236">
      <w:start w:val="5"/>
      <w:numFmt w:val="decimal"/>
      <w:lvlText w:val="%1"/>
      <w:lvlJc w:val="left"/>
      <w:pPr>
        <w:ind w:left="349" w:hanging="360"/>
      </w:pPr>
      <w:rPr>
        <w:rFonts w:cs="Times New Roma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69" w:hanging="360"/>
      </w:pPr>
    </w:lvl>
    <w:lvl w:ilvl="2" w:tplc="0416001B" w:tentative="1">
      <w:start w:val="1"/>
      <w:numFmt w:val="lowerRoman"/>
      <w:lvlText w:val="%3."/>
      <w:lvlJc w:val="right"/>
      <w:pPr>
        <w:ind w:left="1789" w:hanging="180"/>
      </w:pPr>
    </w:lvl>
    <w:lvl w:ilvl="3" w:tplc="0416000F" w:tentative="1">
      <w:start w:val="1"/>
      <w:numFmt w:val="decimal"/>
      <w:lvlText w:val="%4."/>
      <w:lvlJc w:val="left"/>
      <w:pPr>
        <w:ind w:left="2509" w:hanging="360"/>
      </w:pPr>
    </w:lvl>
    <w:lvl w:ilvl="4" w:tplc="04160019" w:tentative="1">
      <w:start w:val="1"/>
      <w:numFmt w:val="lowerLetter"/>
      <w:lvlText w:val="%5."/>
      <w:lvlJc w:val="left"/>
      <w:pPr>
        <w:ind w:left="3229" w:hanging="360"/>
      </w:pPr>
    </w:lvl>
    <w:lvl w:ilvl="5" w:tplc="0416001B" w:tentative="1">
      <w:start w:val="1"/>
      <w:numFmt w:val="lowerRoman"/>
      <w:lvlText w:val="%6."/>
      <w:lvlJc w:val="right"/>
      <w:pPr>
        <w:ind w:left="3949" w:hanging="180"/>
      </w:pPr>
    </w:lvl>
    <w:lvl w:ilvl="6" w:tplc="0416000F" w:tentative="1">
      <w:start w:val="1"/>
      <w:numFmt w:val="decimal"/>
      <w:lvlText w:val="%7."/>
      <w:lvlJc w:val="left"/>
      <w:pPr>
        <w:ind w:left="4669" w:hanging="360"/>
      </w:pPr>
    </w:lvl>
    <w:lvl w:ilvl="7" w:tplc="04160019" w:tentative="1">
      <w:start w:val="1"/>
      <w:numFmt w:val="lowerLetter"/>
      <w:lvlText w:val="%8."/>
      <w:lvlJc w:val="left"/>
      <w:pPr>
        <w:ind w:left="5389" w:hanging="360"/>
      </w:pPr>
    </w:lvl>
    <w:lvl w:ilvl="8" w:tplc="0416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8" w15:restartNumberingAfterBreak="0">
    <w:nsid w:val="553D4A11"/>
    <w:multiLevelType w:val="hybridMultilevel"/>
    <w:tmpl w:val="8B7CB23E"/>
    <w:lvl w:ilvl="0" w:tplc="5170A9E6">
      <w:start w:val="1"/>
      <w:numFmt w:val="decimal"/>
      <w:lvlText w:val="%1."/>
      <w:lvlJc w:val="left"/>
      <w:pPr>
        <w:ind w:left="70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9" w:hanging="360"/>
      </w:pPr>
    </w:lvl>
    <w:lvl w:ilvl="2" w:tplc="0416001B" w:tentative="1">
      <w:start w:val="1"/>
      <w:numFmt w:val="lowerRoman"/>
      <w:lvlText w:val="%3."/>
      <w:lvlJc w:val="right"/>
      <w:pPr>
        <w:ind w:left="1789" w:hanging="180"/>
      </w:pPr>
    </w:lvl>
    <w:lvl w:ilvl="3" w:tplc="0416000F" w:tentative="1">
      <w:start w:val="1"/>
      <w:numFmt w:val="decimal"/>
      <w:lvlText w:val="%4."/>
      <w:lvlJc w:val="left"/>
      <w:pPr>
        <w:ind w:left="2509" w:hanging="360"/>
      </w:pPr>
    </w:lvl>
    <w:lvl w:ilvl="4" w:tplc="04160019" w:tentative="1">
      <w:start w:val="1"/>
      <w:numFmt w:val="lowerLetter"/>
      <w:lvlText w:val="%5."/>
      <w:lvlJc w:val="left"/>
      <w:pPr>
        <w:ind w:left="3229" w:hanging="360"/>
      </w:pPr>
    </w:lvl>
    <w:lvl w:ilvl="5" w:tplc="0416001B" w:tentative="1">
      <w:start w:val="1"/>
      <w:numFmt w:val="lowerRoman"/>
      <w:lvlText w:val="%6."/>
      <w:lvlJc w:val="right"/>
      <w:pPr>
        <w:ind w:left="3949" w:hanging="180"/>
      </w:pPr>
    </w:lvl>
    <w:lvl w:ilvl="6" w:tplc="0416000F" w:tentative="1">
      <w:start w:val="1"/>
      <w:numFmt w:val="decimal"/>
      <w:lvlText w:val="%7."/>
      <w:lvlJc w:val="left"/>
      <w:pPr>
        <w:ind w:left="4669" w:hanging="360"/>
      </w:pPr>
    </w:lvl>
    <w:lvl w:ilvl="7" w:tplc="04160019" w:tentative="1">
      <w:start w:val="1"/>
      <w:numFmt w:val="lowerLetter"/>
      <w:lvlText w:val="%8."/>
      <w:lvlJc w:val="left"/>
      <w:pPr>
        <w:ind w:left="5389" w:hanging="360"/>
      </w:pPr>
    </w:lvl>
    <w:lvl w:ilvl="8" w:tplc="0416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9" w15:restartNumberingAfterBreak="0">
    <w:nsid w:val="55DF1AC9"/>
    <w:multiLevelType w:val="multilevel"/>
    <w:tmpl w:val="B4548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5A386DCC"/>
    <w:multiLevelType w:val="hybridMultilevel"/>
    <w:tmpl w:val="E98AF8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F284C"/>
    <w:multiLevelType w:val="hybridMultilevel"/>
    <w:tmpl w:val="6ECA9F0A"/>
    <w:lvl w:ilvl="0" w:tplc="FE20CFD4">
      <w:start w:val="1"/>
      <w:numFmt w:val="decimal"/>
      <w:lvlText w:val="%1)"/>
      <w:lvlJc w:val="left"/>
      <w:pPr>
        <w:ind w:left="142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80132D"/>
    <w:multiLevelType w:val="hybridMultilevel"/>
    <w:tmpl w:val="4AE6B7EE"/>
    <w:lvl w:ilvl="0" w:tplc="82187634">
      <w:start w:val="9"/>
      <w:numFmt w:val="lowerLetter"/>
      <w:lvlText w:val="(%1)"/>
      <w:lvlJc w:val="left"/>
      <w:pPr>
        <w:ind w:left="111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E2797C"/>
    <w:multiLevelType w:val="multilevel"/>
    <w:tmpl w:val="A51A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 w15:restartNumberingAfterBreak="0">
    <w:nsid w:val="65106365"/>
    <w:multiLevelType w:val="multilevel"/>
    <w:tmpl w:val="B940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5" w15:restartNumberingAfterBreak="0">
    <w:nsid w:val="687D40DF"/>
    <w:multiLevelType w:val="hybridMultilevel"/>
    <w:tmpl w:val="DDA45E58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7D62E31"/>
    <w:multiLevelType w:val="multilevel"/>
    <w:tmpl w:val="B8EE3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7" w15:restartNumberingAfterBreak="0">
    <w:nsid w:val="78315233"/>
    <w:multiLevelType w:val="multilevel"/>
    <w:tmpl w:val="6532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24"/>
  </w:num>
  <w:num w:numId="5">
    <w:abstractNumId w:val="3"/>
  </w:num>
  <w:num w:numId="6">
    <w:abstractNumId w:val="1"/>
  </w:num>
  <w:num w:numId="7">
    <w:abstractNumId w:val="26"/>
  </w:num>
  <w:num w:numId="8">
    <w:abstractNumId w:val="23"/>
  </w:num>
  <w:num w:numId="9">
    <w:abstractNumId w:val="19"/>
  </w:num>
  <w:num w:numId="10">
    <w:abstractNumId w:val="27"/>
  </w:num>
  <w:num w:numId="11">
    <w:abstractNumId w:val="10"/>
  </w:num>
  <w:num w:numId="12">
    <w:abstractNumId w:val="12"/>
  </w:num>
  <w:num w:numId="13">
    <w:abstractNumId w:val="0"/>
  </w:num>
  <w:num w:numId="14">
    <w:abstractNumId w:val="14"/>
  </w:num>
  <w:num w:numId="15">
    <w:abstractNumId w:val="20"/>
  </w:num>
  <w:num w:numId="16">
    <w:abstractNumId w:val="25"/>
  </w:num>
  <w:num w:numId="17">
    <w:abstractNumId w:val="21"/>
  </w:num>
  <w:num w:numId="18">
    <w:abstractNumId w:val="2"/>
  </w:num>
  <w:num w:numId="19">
    <w:abstractNumId w:val="6"/>
  </w:num>
  <w:num w:numId="20">
    <w:abstractNumId w:val="17"/>
  </w:num>
  <w:num w:numId="21">
    <w:abstractNumId w:val="15"/>
  </w:num>
  <w:num w:numId="22">
    <w:abstractNumId w:val="7"/>
  </w:num>
  <w:num w:numId="23">
    <w:abstractNumId w:val="4"/>
  </w:num>
  <w:num w:numId="24">
    <w:abstractNumId w:val="5"/>
  </w:num>
  <w:num w:numId="25">
    <w:abstractNumId w:val="18"/>
  </w:num>
  <w:num w:numId="26">
    <w:abstractNumId w:val="11"/>
  </w:num>
  <w:num w:numId="27">
    <w:abstractNumId w:val="13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ocumentProtection w:edit="readOnly" w:enforcement="1" w:cryptProviderType="rsaAES" w:cryptAlgorithmClass="hash" w:cryptAlgorithmType="typeAny" w:cryptAlgorithmSid="14" w:cryptSpinCount="100000" w:hash="MgMYsm0iLBkCi7ZiJjh1ywLqEhKBRynJrIzn6tPFRDtVcwC8DHnmxpY/jd49WMU5kiC59P0yPFL6WsRj8pDvNA==" w:salt="8Dk8PeIPPw2cO7NOGSo8Ng=="/>
  <w:defaultTabStop w:val="709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81"/>
    <w:rsid w:val="00002E30"/>
    <w:rsid w:val="0001168F"/>
    <w:rsid w:val="00013C2E"/>
    <w:rsid w:val="0001732A"/>
    <w:rsid w:val="000315BF"/>
    <w:rsid w:val="00043A91"/>
    <w:rsid w:val="00070E87"/>
    <w:rsid w:val="00072517"/>
    <w:rsid w:val="000742BF"/>
    <w:rsid w:val="00075BD7"/>
    <w:rsid w:val="0007784C"/>
    <w:rsid w:val="00097E23"/>
    <w:rsid w:val="000A0558"/>
    <w:rsid w:val="000B3CF7"/>
    <w:rsid w:val="000C4C1E"/>
    <w:rsid w:val="000D509A"/>
    <w:rsid w:val="000E22AD"/>
    <w:rsid w:val="001003CA"/>
    <w:rsid w:val="00113A79"/>
    <w:rsid w:val="00117327"/>
    <w:rsid w:val="001859AF"/>
    <w:rsid w:val="001A4F51"/>
    <w:rsid w:val="001A6E93"/>
    <w:rsid w:val="001B4371"/>
    <w:rsid w:val="001B5769"/>
    <w:rsid w:val="001C6B5F"/>
    <w:rsid w:val="001D3883"/>
    <w:rsid w:val="001F0CB3"/>
    <w:rsid w:val="001F4F07"/>
    <w:rsid w:val="001F6266"/>
    <w:rsid w:val="001F6A24"/>
    <w:rsid w:val="001F7484"/>
    <w:rsid w:val="002208D2"/>
    <w:rsid w:val="00234F84"/>
    <w:rsid w:val="002445D0"/>
    <w:rsid w:val="00246394"/>
    <w:rsid w:val="00256E2A"/>
    <w:rsid w:val="00261AFF"/>
    <w:rsid w:val="00266603"/>
    <w:rsid w:val="002711B4"/>
    <w:rsid w:val="0027578B"/>
    <w:rsid w:val="002831C2"/>
    <w:rsid w:val="002A3C8D"/>
    <w:rsid w:val="002A572F"/>
    <w:rsid w:val="002C51DD"/>
    <w:rsid w:val="002D73AC"/>
    <w:rsid w:val="00307D5E"/>
    <w:rsid w:val="00316CBD"/>
    <w:rsid w:val="003224A1"/>
    <w:rsid w:val="00327359"/>
    <w:rsid w:val="00331D63"/>
    <w:rsid w:val="003457DC"/>
    <w:rsid w:val="00350D1B"/>
    <w:rsid w:val="00354FD8"/>
    <w:rsid w:val="003578BD"/>
    <w:rsid w:val="00361F71"/>
    <w:rsid w:val="00373232"/>
    <w:rsid w:val="00381A9B"/>
    <w:rsid w:val="0038441C"/>
    <w:rsid w:val="003864DA"/>
    <w:rsid w:val="00391F10"/>
    <w:rsid w:val="003960F3"/>
    <w:rsid w:val="003A2883"/>
    <w:rsid w:val="003A7B41"/>
    <w:rsid w:val="003C0D31"/>
    <w:rsid w:val="003D704B"/>
    <w:rsid w:val="003E108E"/>
    <w:rsid w:val="003F2B5C"/>
    <w:rsid w:val="003F3559"/>
    <w:rsid w:val="004003EF"/>
    <w:rsid w:val="00400D5C"/>
    <w:rsid w:val="0041662C"/>
    <w:rsid w:val="00442F55"/>
    <w:rsid w:val="00450682"/>
    <w:rsid w:val="00454AC3"/>
    <w:rsid w:val="00495868"/>
    <w:rsid w:val="004A10CC"/>
    <w:rsid w:val="004B261A"/>
    <w:rsid w:val="004D57E4"/>
    <w:rsid w:val="004E1F29"/>
    <w:rsid w:val="004E451A"/>
    <w:rsid w:val="004E46F5"/>
    <w:rsid w:val="004F1681"/>
    <w:rsid w:val="005057D8"/>
    <w:rsid w:val="00524408"/>
    <w:rsid w:val="00545008"/>
    <w:rsid w:val="00560FD9"/>
    <w:rsid w:val="0056327B"/>
    <w:rsid w:val="0056545A"/>
    <w:rsid w:val="00565F5F"/>
    <w:rsid w:val="00570A85"/>
    <w:rsid w:val="00571035"/>
    <w:rsid w:val="005723E0"/>
    <w:rsid w:val="005864E1"/>
    <w:rsid w:val="005A6E00"/>
    <w:rsid w:val="005C2999"/>
    <w:rsid w:val="005C3C45"/>
    <w:rsid w:val="005C4E28"/>
    <w:rsid w:val="005C6644"/>
    <w:rsid w:val="005C7C09"/>
    <w:rsid w:val="005E79F1"/>
    <w:rsid w:val="0060517B"/>
    <w:rsid w:val="00613008"/>
    <w:rsid w:val="00623284"/>
    <w:rsid w:val="00625A8D"/>
    <w:rsid w:val="006270CF"/>
    <w:rsid w:val="00627E22"/>
    <w:rsid w:val="00644A1F"/>
    <w:rsid w:val="00653DF8"/>
    <w:rsid w:val="00657CAC"/>
    <w:rsid w:val="00663E72"/>
    <w:rsid w:val="00666B23"/>
    <w:rsid w:val="00667B39"/>
    <w:rsid w:val="006D2D30"/>
    <w:rsid w:val="006D7780"/>
    <w:rsid w:val="006E1B97"/>
    <w:rsid w:val="006E3777"/>
    <w:rsid w:val="00735889"/>
    <w:rsid w:val="007413F9"/>
    <w:rsid w:val="0075528F"/>
    <w:rsid w:val="00756F8D"/>
    <w:rsid w:val="00770A30"/>
    <w:rsid w:val="0077540D"/>
    <w:rsid w:val="007909A5"/>
    <w:rsid w:val="00790BFC"/>
    <w:rsid w:val="00793086"/>
    <w:rsid w:val="007A3A65"/>
    <w:rsid w:val="007B595F"/>
    <w:rsid w:val="007E5CE8"/>
    <w:rsid w:val="00801FB6"/>
    <w:rsid w:val="00815139"/>
    <w:rsid w:val="00816ADF"/>
    <w:rsid w:val="00826AE3"/>
    <w:rsid w:val="00833BD4"/>
    <w:rsid w:val="00867FF5"/>
    <w:rsid w:val="00892AB8"/>
    <w:rsid w:val="008A7ED2"/>
    <w:rsid w:val="008B5772"/>
    <w:rsid w:val="008D32B8"/>
    <w:rsid w:val="008D3444"/>
    <w:rsid w:val="008E59A1"/>
    <w:rsid w:val="008F1279"/>
    <w:rsid w:val="00931F18"/>
    <w:rsid w:val="009353BE"/>
    <w:rsid w:val="0094408E"/>
    <w:rsid w:val="00961F71"/>
    <w:rsid w:val="00971419"/>
    <w:rsid w:val="009914D7"/>
    <w:rsid w:val="009C03E9"/>
    <w:rsid w:val="009C0ED3"/>
    <w:rsid w:val="009C4975"/>
    <w:rsid w:val="009D2B7B"/>
    <w:rsid w:val="009D314F"/>
    <w:rsid w:val="009E5608"/>
    <w:rsid w:val="009F00CB"/>
    <w:rsid w:val="00A05847"/>
    <w:rsid w:val="00A0772C"/>
    <w:rsid w:val="00A1076A"/>
    <w:rsid w:val="00A24122"/>
    <w:rsid w:val="00A31DDA"/>
    <w:rsid w:val="00A43B9E"/>
    <w:rsid w:val="00A53193"/>
    <w:rsid w:val="00A658AA"/>
    <w:rsid w:val="00A7701A"/>
    <w:rsid w:val="00A822AB"/>
    <w:rsid w:val="00A909BE"/>
    <w:rsid w:val="00A936BB"/>
    <w:rsid w:val="00AA4E43"/>
    <w:rsid w:val="00AA6B68"/>
    <w:rsid w:val="00AB0BC3"/>
    <w:rsid w:val="00AC0068"/>
    <w:rsid w:val="00AC0F2F"/>
    <w:rsid w:val="00AC3E59"/>
    <w:rsid w:val="00AF51BE"/>
    <w:rsid w:val="00B05A14"/>
    <w:rsid w:val="00B10E89"/>
    <w:rsid w:val="00B127B9"/>
    <w:rsid w:val="00B13258"/>
    <w:rsid w:val="00B40CCC"/>
    <w:rsid w:val="00B45924"/>
    <w:rsid w:val="00B51DBD"/>
    <w:rsid w:val="00B6085C"/>
    <w:rsid w:val="00B63699"/>
    <w:rsid w:val="00B7223B"/>
    <w:rsid w:val="00B760AE"/>
    <w:rsid w:val="00B7655F"/>
    <w:rsid w:val="00B77785"/>
    <w:rsid w:val="00B82DD7"/>
    <w:rsid w:val="00B90F71"/>
    <w:rsid w:val="00BA33C1"/>
    <w:rsid w:val="00BA509C"/>
    <w:rsid w:val="00BA748F"/>
    <w:rsid w:val="00BB344D"/>
    <w:rsid w:val="00BB3A64"/>
    <w:rsid w:val="00BB4BDA"/>
    <w:rsid w:val="00BD13E9"/>
    <w:rsid w:val="00BD42FB"/>
    <w:rsid w:val="00BD7F7B"/>
    <w:rsid w:val="00BE7FE1"/>
    <w:rsid w:val="00BF4A66"/>
    <w:rsid w:val="00C162AC"/>
    <w:rsid w:val="00C20F5F"/>
    <w:rsid w:val="00C3328E"/>
    <w:rsid w:val="00C47A47"/>
    <w:rsid w:val="00C50DF0"/>
    <w:rsid w:val="00C53998"/>
    <w:rsid w:val="00C660FE"/>
    <w:rsid w:val="00CA45C1"/>
    <w:rsid w:val="00CA6E0D"/>
    <w:rsid w:val="00CE363A"/>
    <w:rsid w:val="00D16505"/>
    <w:rsid w:val="00D5373C"/>
    <w:rsid w:val="00D57F6F"/>
    <w:rsid w:val="00D909AD"/>
    <w:rsid w:val="00DA3687"/>
    <w:rsid w:val="00DA7D80"/>
    <w:rsid w:val="00DB01F8"/>
    <w:rsid w:val="00DB0951"/>
    <w:rsid w:val="00DB54E4"/>
    <w:rsid w:val="00DD5B4B"/>
    <w:rsid w:val="00DE1ADE"/>
    <w:rsid w:val="00DE31D2"/>
    <w:rsid w:val="00DF0EDD"/>
    <w:rsid w:val="00DF6BDA"/>
    <w:rsid w:val="00E23CEF"/>
    <w:rsid w:val="00E25E38"/>
    <w:rsid w:val="00E345AE"/>
    <w:rsid w:val="00E37408"/>
    <w:rsid w:val="00E40F38"/>
    <w:rsid w:val="00E430C6"/>
    <w:rsid w:val="00E435D3"/>
    <w:rsid w:val="00E557E5"/>
    <w:rsid w:val="00E55DDB"/>
    <w:rsid w:val="00E572ED"/>
    <w:rsid w:val="00E73422"/>
    <w:rsid w:val="00E7407A"/>
    <w:rsid w:val="00EB1716"/>
    <w:rsid w:val="00EB40D1"/>
    <w:rsid w:val="00EB5221"/>
    <w:rsid w:val="00EB6983"/>
    <w:rsid w:val="00EC0476"/>
    <w:rsid w:val="00EC4789"/>
    <w:rsid w:val="00EC6687"/>
    <w:rsid w:val="00EE205B"/>
    <w:rsid w:val="00EE3686"/>
    <w:rsid w:val="00EF1CE5"/>
    <w:rsid w:val="00F074D0"/>
    <w:rsid w:val="00F1270F"/>
    <w:rsid w:val="00F2215A"/>
    <w:rsid w:val="00F260A0"/>
    <w:rsid w:val="00F30E21"/>
    <w:rsid w:val="00F42608"/>
    <w:rsid w:val="00F44825"/>
    <w:rsid w:val="00F75FB2"/>
    <w:rsid w:val="00F7748C"/>
    <w:rsid w:val="00F83C4E"/>
    <w:rsid w:val="00F975F1"/>
    <w:rsid w:val="00FA6ADD"/>
    <w:rsid w:val="00FA771D"/>
    <w:rsid w:val="00FB5412"/>
    <w:rsid w:val="00FD017E"/>
    <w:rsid w:val="00FD5613"/>
    <w:rsid w:val="00FD75F7"/>
    <w:rsid w:val="00FD7F62"/>
    <w:rsid w:val="00FE1F52"/>
    <w:rsid w:val="00FF5568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018CA98"/>
  <w15:docId w15:val="{03263C6A-3320-4511-B805-063DD255B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ucida Sans Unicode" w:hAnsi="Liberation Serif" w:cs="Mangal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FF3"/>
    <w:pPr>
      <w:widowControl w:val="0"/>
      <w:spacing w:line="360" w:lineRule="auto"/>
      <w:ind w:firstLine="709"/>
      <w:jc w:val="both"/>
    </w:pPr>
    <w:rPr>
      <w:rFonts w:ascii="Times New Roman" w:hAnsi="Times New Roman"/>
      <w:color w:val="00000A"/>
      <w:sz w:val="24"/>
    </w:rPr>
  </w:style>
  <w:style w:type="paragraph" w:styleId="Ttulo1">
    <w:name w:val="heading 1"/>
    <w:basedOn w:val="Normal"/>
    <w:link w:val="Ttulo1Char"/>
    <w:uiPriority w:val="9"/>
    <w:qFormat/>
    <w:rsid w:val="00623284"/>
    <w:pPr>
      <w:widowControl/>
      <w:suppressAutoHyphens w:val="0"/>
      <w:spacing w:before="240" w:after="240"/>
      <w:ind w:firstLine="0"/>
      <w:outlineLvl w:val="0"/>
    </w:pPr>
    <w:rPr>
      <w:rFonts w:eastAsia="Times New Roman" w:cs="Times New Roman"/>
      <w:b/>
      <w:bCs/>
      <w:caps/>
      <w:color w:val="auto"/>
      <w:kern w:val="2"/>
      <w:szCs w:val="48"/>
      <w:lang w:eastAsia="pt-BR" w:bidi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64DA"/>
    <w:pPr>
      <w:spacing w:before="240" w:after="240"/>
      <w:ind w:firstLine="0"/>
      <w:outlineLvl w:val="1"/>
    </w:pPr>
    <w:rPr>
      <w:rFonts w:eastAsiaTheme="majorEastAsia"/>
      <w:b/>
      <w:bCs/>
      <w:color w:val="auto"/>
      <w:szCs w:val="23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A1004"/>
    <w:pPr>
      <w:spacing w:before="240" w:after="240"/>
      <w:outlineLvl w:val="2"/>
    </w:pPr>
    <w:rPr>
      <w:rFonts w:eastAsiaTheme="majorEastAsia"/>
      <w:bCs/>
      <w:i/>
      <w:color w:val="auto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qFormat/>
  </w:style>
  <w:style w:type="character" w:customStyle="1" w:styleId="LinkdaInternet">
    <w:name w:val="Link da Internet"/>
    <w:basedOn w:val="Fontepargpadro"/>
    <w:uiPriority w:val="99"/>
    <w:unhideWhenUsed/>
    <w:rsid w:val="00FC1B15"/>
    <w:rPr>
      <w:color w:val="0000FF"/>
      <w:u w:val="single"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E64522"/>
    <w:rPr>
      <w:color w:val="800080" w:themeColor="followedHyperlink"/>
      <w:u w:val="single"/>
    </w:rPr>
  </w:style>
  <w:style w:type="character" w:customStyle="1" w:styleId="Marcas">
    <w:name w:val="Marca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Fontepargpadro2">
    <w:name w:val="Fonte parág. padrão2"/>
    <w:qFormat/>
  </w:style>
  <w:style w:type="character" w:customStyle="1" w:styleId="WW-Internetlink12">
    <w:name w:val="WW-Internet link12"/>
    <w:qFormat/>
    <w:rPr>
      <w:rFonts w:ascii="Times New Roman" w:eastAsia="Times New Roman" w:hAnsi="Times New Roman" w:cs="Times New Roman"/>
      <w:color w:val="000080"/>
      <w:sz w:val="24"/>
      <w:szCs w:val="24"/>
      <w:u w:val="single"/>
      <w:lang w:val="uz-Cyrl-UZ"/>
    </w:rPr>
  </w:style>
  <w:style w:type="character" w:customStyle="1" w:styleId="WW-Internetlink1">
    <w:name w:val="WW-Internet link1"/>
    <w:qFormat/>
    <w:rPr>
      <w:color w:val="000080"/>
      <w:sz w:val="24"/>
      <w:szCs w:val="24"/>
      <w:u w:val="single"/>
      <w:lang w:val="uz-Cyrl-UZ"/>
    </w:rPr>
  </w:style>
  <w:style w:type="character" w:customStyle="1" w:styleId="WW-Internetlink">
    <w:name w:val="WW-Internet link"/>
    <w:qFormat/>
    <w:rPr>
      <w:rFonts w:ascii="Times New Roman" w:eastAsia="Times New Roman" w:hAnsi="Times New Roman" w:cs="Times New Roman"/>
      <w:color w:val="000080"/>
      <w:sz w:val="24"/>
      <w:szCs w:val="24"/>
      <w:u w:val="single"/>
      <w:lang w:val="uz-Cyrl-UZ"/>
    </w:rPr>
  </w:style>
  <w:style w:type="character" w:customStyle="1" w:styleId="Smbolosdenumerao">
    <w:name w:val="Símbolos de numeração"/>
    <w:qFormat/>
    <w:rPr>
      <w:rFonts w:eastAsia="Lucida Sans Unicode"/>
      <w:sz w:val="24"/>
      <w:szCs w:val="24"/>
      <w:lang w:val="pt-BR"/>
    </w:rPr>
  </w:style>
  <w:style w:type="character" w:customStyle="1" w:styleId="RTFNum210">
    <w:name w:val="RTF_Num 2 10"/>
    <w:qFormat/>
    <w:rPr>
      <w:rFonts w:ascii="Times New Roman" w:eastAsia="Times New Roman" w:hAnsi="Times New Roman" w:cs="Times New Roman"/>
      <w:color w:val="00000A"/>
      <w:sz w:val="24"/>
      <w:szCs w:val="24"/>
      <w:lang w:val="pt-BR"/>
    </w:rPr>
  </w:style>
  <w:style w:type="character" w:customStyle="1" w:styleId="RTFNum29">
    <w:name w:val="RTF_Num 2 9"/>
    <w:qFormat/>
    <w:rPr>
      <w:rFonts w:ascii="Times New Roman" w:eastAsia="Times New Roman" w:hAnsi="Times New Roman" w:cs="Times New Roman"/>
      <w:color w:val="00000A"/>
      <w:sz w:val="24"/>
      <w:szCs w:val="24"/>
      <w:lang w:val="pt-BR"/>
    </w:rPr>
  </w:style>
  <w:style w:type="character" w:customStyle="1" w:styleId="RTFNum28">
    <w:name w:val="RTF_Num 2 8"/>
    <w:qFormat/>
    <w:rPr>
      <w:rFonts w:ascii="Times New Roman" w:eastAsia="Times New Roman" w:hAnsi="Times New Roman" w:cs="Times New Roman"/>
      <w:color w:val="00000A"/>
      <w:sz w:val="24"/>
      <w:szCs w:val="24"/>
      <w:lang w:val="pt-BR"/>
    </w:rPr>
  </w:style>
  <w:style w:type="character" w:customStyle="1" w:styleId="RTFNum27">
    <w:name w:val="RTF_Num 2 7"/>
    <w:qFormat/>
    <w:rPr>
      <w:rFonts w:ascii="Times New Roman" w:eastAsia="Times New Roman" w:hAnsi="Times New Roman" w:cs="Times New Roman"/>
      <w:color w:val="00000A"/>
      <w:sz w:val="24"/>
      <w:szCs w:val="24"/>
      <w:lang w:val="pt-BR"/>
    </w:rPr>
  </w:style>
  <w:style w:type="character" w:customStyle="1" w:styleId="RTFNum26">
    <w:name w:val="RTF_Num 2 6"/>
    <w:qFormat/>
    <w:rPr>
      <w:rFonts w:ascii="Times New Roman" w:eastAsia="Times New Roman" w:hAnsi="Times New Roman" w:cs="Times New Roman"/>
      <w:color w:val="00000A"/>
      <w:sz w:val="24"/>
      <w:szCs w:val="24"/>
      <w:lang w:val="pt-BR"/>
    </w:rPr>
  </w:style>
  <w:style w:type="character" w:customStyle="1" w:styleId="RTFNum25">
    <w:name w:val="RTF_Num 2 5"/>
    <w:qFormat/>
    <w:rPr>
      <w:rFonts w:ascii="Times New Roman" w:eastAsia="Times New Roman" w:hAnsi="Times New Roman" w:cs="Times New Roman"/>
      <w:color w:val="00000A"/>
      <w:sz w:val="24"/>
      <w:szCs w:val="24"/>
      <w:lang w:val="pt-BR"/>
    </w:rPr>
  </w:style>
  <w:style w:type="character" w:customStyle="1" w:styleId="RTFNum24">
    <w:name w:val="RTF_Num 2 4"/>
    <w:qFormat/>
    <w:rPr>
      <w:rFonts w:ascii="Times New Roman" w:eastAsia="Times New Roman" w:hAnsi="Times New Roman" w:cs="Times New Roman"/>
      <w:color w:val="00000A"/>
      <w:sz w:val="24"/>
      <w:szCs w:val="24"/>
      <w:lang w:val="pt-BR"/>
    </w:rPr>
  </w:style>
  <w:style w:type="character" w:customStyle="1" w:styleId="RTFNum23">
    <w:name w:val="RTF_Num 2 3"/>
    <w:qFormat/>
    <w:rPr>
      <w:rFonts w:ascii="Times New Roman" w:eastAsia="Times New Roman" w:hAnsi="Times New Roman" w:cs="Times New Roman"/>
      <w:color w:val="00000A"/>
      <w:sz w:val="24"/>
      <w:szCs w:val="24"/>
      <w:lang w:val="pt-BR"/>
    </w:rPr>
  </w:style>
  <w:style w:type="character" w:customStyle="1" w:styleId="RTFNum22">
    <w:name w:val="RTF_Num 2 2"/>
    <w:qFormat/>
    <w:rPr>
      <w:rFonts w:ascii="Times New Roman" w:eastAsia="Times New Roman" w:hAnsi="Times New Roman" w:cs="Times New Roman"/>
      <w:color w:val="00000A"/>
      <w:sz w:val="24"/>
      <w:szCs w:val="24"/>
      <w:lang w:val="pt-BR"/>
    </w:rPr>
  </w:style>
  <w:style w:type="character" w:customStyle="1" w:styleId="RTFNum21">
    <w:name w:val="RTF_Num 2 1"/>
    <w:qFormat/>
    <w:rPr>
      <w:rFonts w:ascii="Times New Roman" w:eastAsia="Times New Roman" w:hAnsi="Times New Roman" w:cs="Times New Roman"/>
      <w:color w:val="00000A"/>
      <w:sz w:val="24"/>
      <w:szCs w:val="24"/>
      <w:lang w:val="pt-BR"/>
    </w:rPr>
  </w:style>
  <w:style w:type="character" w:customStyle="1" w:styleId="WW-Absatz-Standardschriftart111111111">
    <w:name w:val="WW-Absatz-Standardschriftart111111111"/>
    <w:qFormat/>
  </w:style>
  <w:style w:type="character" w:customStyle="1" w:styleId="WW8Num1z0">
    <w:name w:val="WW8Num1z0"/>
    <w:qFormat/>
    <w:rPr>
      <w:rFonts w:ascii="Times New Roman" w:eastAsia="Times New Roman" w:hAnsi="Times New Roman" w:cs="Times New Roman"/>
      <w:color w:val="00000A"/>
      <w:sz w:val="24"/>
      <w:szCs w:val="24"/>
      <w:lang w:val="pt-BR"/>
    </w:rPr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color w:val="00000A"/>
      <w:sz w:val="24"/>
      <w:szCs w:val="24"/>
      <w:lang w:val="pt-BR"/>
    </w:rPr>
  </w:style>
  <w:style w:type="character" w:customStyle="1" w:styleId="WW-Absatz-Standardschriftart11111">
    <w:name w:val="WW-Absatz-Standardschriftart11111"/>
    <w:qFormat/>
  </w:style>
  <w:style w:type="character" w:customStyle="1" w:styleId="WW8Num3z0">
    <w:name w:val="WW8Num3z0"/>
    <w:qFormat/>
    <w:rPr>
      <w:rFonts w:ascii="Symbol" w:hAnsi="Symbol"/>
    </w:rPr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">
    <w:name w:val="WW-Absatz-Standardschriftart"/>
    <w:qFormat/>
  </w:style>
  <w:style w:type="character" w:customStyle="1" w:styleId="Absatz-Standardschriftart">
    <w:name w:val="Absatz-Standardschriftart"/>
    <w:qFormat/>
  </w:style>
  <w:style w:type="character" w:customStyle="1" w:styleId="position-number">
    <w:name w:val="position-number"/>
    <w:basedOn w:val="Fontepargpadro"/>
    <w:qFormat/>
    <w:rsid w:val="00FC1B15"/>
  </w:style>
  <w:style w:type="character" w:customStyle="1" w:styleId="apple-converted-space">
    <w:name w:val="apple-converted-space"/>
    <w:basedOn w:val="Fontepargpadro"/>
    <w:qFormat/>
    <w:rsid w:val="00FC1B15"/>
  </w:style>
  <w:style w:type="character" w:customStyle="1" w:styleId="result-id">
    <w:name w:val="result-id"/>
    <w:basedOn w:val="Fontepargpadro"/>
    <w:qFormat/>
    <w:rsid w:val="00FC1B15"/>
  </w:style>
  <w:style w:type="character" w:customStyle="1" w:styleId="labs-docsum-authors">
    <w:name w:val="labs-docsum-authors"/>
    <w:basedOn w:val="Fontepargpadro"/>
    <w:qFormat/>
    <w:rsid w:val="00FC1B15"/>
  </w:style>
  <w:style w:type="character" w:customStyle="1" w:styleId="labs-docsum-journal-citation">
    <w:name w:val="labs-docsum-journal-citation"/>
    <w:basedOn w:val="Fontepargpadro"/>
    <w:qFormat/>
    <w:rsid w:val="00FC1B15"/>
  </w:style>
  <w:style w:type="character" w:customStyle="1" w:styleId="citation-part">
    <w:name w:val="citation-part"/>
    <w:basedOn w:val="Fontepargpadro"/>
    <w:qFormat/>
    <w:rsid w:val="00FC1B15"/>
  </w:style>
  <w:style w:type="character" w:customStyle="1" w:styleId="docsum-pmid">
    <w:name w:val="docsum-pmid"/>
    <w:basedOn w:val="Fontepargpadro"/>
    <w:qFormat/>
    <w:rsid w:val="00FC1B15"/>
  </w:style>
  <w:style w:type="character" w:customStyle="1" w:styleId="publication-type">
    <w:name w:val="publication-type"/>
    <w:basedOn w:val="Fontepargpadro"/>
    <w:qFormat/>
    <w:rsid w:val="00FC1B15"/>
  </w:style>
  <w:style w:type="character" w:customStyle="1" w:styleId="Partesuperior-zdoformulrioChar">
    <w:name w:val="Parte superior-z do formulário Char"/>
    <w:basedOn w:val="Fontepargpadro"/>
    <w:uiPriority w:val="99"/>
    <w:semiHidden/>
    <w:qFormat/>
    <w:rsid w:val="00FC1B15"/>
    <w:rPr>
      <w:rFonts w:ascii="Arial" w:eastAsia="Times New Roman" w:hAnsi="Arial" w:cs="Arial"/>
      <w:vanish/>
      <w:sz w:val="16"/>
      <w:szCs w:val="16"/>
      <w:lang w:eastAsia="pt-BR" w:bidi="ar-SA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qFormat/>
    <w:rsid w:val="00FC1B15"/>
    <w:rPr>
      <w:rFonts w:ascii="Arial" w:eastAsia="Times New Roman" w:hAnsi="Arial" w:cs="Arial"/>
      <w:vanish/>
      <w:sz w:val="16"/>
      <w:szCs w:val="16"/>
      <w:lang w:eastAsia="pt-BR" w:bidi="ar-SA"/>
    </w:rPr>
  </w:style>
  <w:style w:type="character" w:customStyle="1" w:styleId="Ttulo1Char">
    <w:name w:val="Título 1 Char"/>
    <w:basedOn w:val="Fontepargpadro"/>
    <w:link w:val="Ttulo1"/>
    <w:uiPriority w:val="9"/>
    <w:qFormat/>
    <w:rsid w:val="00623284"/>
    <w:rPr>
      <w:rFonts w:ascii="Times New Roman" w:eastAsia="Times New Roman" w:hAnsi="Times New Roman" w:cs="Times New Roman"/>
      <w:b/>
      <w:bCs/>
      <w:caps/>
      <w:kern w:val="2"/>
      <w:sz w:val="24"/>
      <w:szCs w:val="48"/>
      <w:lang w:eastAsia="pt-BR" w:bidi="ar-SA"/>
    </w:rPr>
  </w:style>
  <w:style w:type="character" w:customStyle="1" w:styleId="highwire-citation-authors">
    <w:name w:val="highwire-citation-authors"/>
    <w:basedOn w:val="Fontepargpadro"/>
    <w:qFormat/>
    <w:rsid w:val="00885CC7"/>
  </w:style>
  <w:style w:type="character" w:customStyle="1" w:styleId="highwire-citation-author">
    <w:name w:val="highwire-citation-author"/>
    <w:basedOn w:val="Fontepargpadro"/>
    <w:qFormat/>
    <w:rsid w:val="00885CC7"/>
  </w:style>
  <w:style w:type="character" w:customStyle="1" w:styleId="CabealhoChar">
    <w:name w:val="Cabeçalho Char"/>
    <w:basedOn w:val="Fontepargpadro"/>
    <w:link w:val="Cabealho"/>
    <w:uiPriority w:val="99"/>
    <w:qFormat/>
    <w:rsid w:val="008A522B"/>
    <w:rPr>
      <w:rFonts w:ascii="Times New Roman" w:hAnsi="Times New Roman"/>
      <w:color w:val="00000A"/>
      <w:sz w:val="24"/>
      <w:szCs w:val="21"/>
    </w:rPr>
  </w:style>
  <w:style w:type="character" w:customStyle="1" w:styleId="RodapChar">
    <w:name w:val="Rodapé Char"/>
    <w:basedOn w:val="Fontepargpadro"/>
    <w:link w:val="Rodap"/>
    <w:uiPriority w:val="99"/>
    <w:qFormat/>
    <w:rsid w:val="008A522B"/>
    <w:rPr>
      <w:rFonts w:ascii="Times New Roman" w:hAnsi="Times New Roman"/>
      <w:color w:val="00000A"/>
      <w:sz w:val="24"/>
      <w:szCs w:val="21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B5894"/>
    <w:rPr>
      <w:rFonts w:ascii="Tahoma" w:hAnsi="Tahoma"/>
      <w:color w:val="00000A"/>
      <w:sz w:val="16"/>
      <w:szCs w:val="14"/>
    </w:rPr>
  </w:style>
  <w:style w:type="character" w:customStyle="1" w:styleId="Ttulo2Char">
    <w:name w:val="Título 2 Char"/>
    <w:basedOn w:val="Fontepargpadro"/>
    <w:link w:val="Ttulo2"/>
    <w:uiPriority w:val="9"/>
    <w:qFormat/>
    <w:rsid w:val="003864DA"/>
    <w:rPr>
      <w:rFonts w:ascii="Times New Roman" w:eastAsiaTheme="majorEastAsia" w:hAnsi="Times New Roman"/>
      <w:b/>
      <w:bCs/>
      <w:sz w:val="24"/>
      <w:szCs w:val="23"/>
    </w:rPr>
  </w:style>
  <w:style w:type="character" w:customStyle="1" w:styleId="Ttulo3Char">
    <w:name w:val="Título 3 Char"/>
    <w:basedOn w:val="Fontepargpadro"/>
    <w:link w:val="Ttulo3"/>
    <w:uiPriority w:val="9"/>
    <w:qFormat/>
    <w:rsid w:val="006A1004"/>
    <w:rPr>
      <w:rFonts w:ascii="Times New Roman" w:eastAsiaTheme="majorEastAsia" w:hAnsi="Times New Roman"/>
      <w:bCs/>
      <w:i/>
      <w:sz w:val="24"/>
      <w:szCs w:val="21"/>
    </w:rPr>
  </w:style>
  <w:style w:type="character" w:customStyle="1" w:styleId="CorpodetextoChar">
    <w:name w:val="Corpo de texto Char"/>
    <w:basedOn w:val="Fontepargpadro"/>
    <w:link w:val="Corpodetexto"/>
    <w:qFormat/>
    <w:rsid w:val="006D3CC0"/>
    <w:rPr>
      <w:rFonts w:ascii="Times New Roman" w:hAnsi="Times New Roman"/>
      <w:kern w:val="2"/>
      <w:sz w:val="24"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6D3CC0"/>
    <w:pPr>
      <w:spacing w:after="120" w:line="240" w:lineRule="auto"/>
      <w:jc w:val="left"/>
    </w:pPr>
    <w:rPr>
      <w:color w:val="auto"/>
      <w:kern w:val="2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customStyle="1" w:styleId="Ttulo11">
    <w:name w:val="Título 11"/>
    <w:basedOn w:val="Ttulo10"/>
    <w:qFormat/>
  </w:style>
  <w:style w:type="paragraph" w:customStyle="1" w:styleId="Ttulo21">
    <w:name w:val="Título 21"/>
    <w:basedOn w:val="Normal"/>
    <w:next w:val="Normal"/>
    <w:qFormat/>
    <w:pPr>
      <w:keepNext/>
      <w:jc w:val="center"/>
      <w:outlineLvl w:val="1"/>
    </w:pPr>
    <w:rPr>
      <w:i/>
      <w:iCs/>
      <w:color w:val="000080"/>
      <w:sz w:val="16"/>
      <w:szCs w:val="16"/>
    </w:rPr>
  </w:style>
  <w:style w:type="paragraph" w:customStyle="1" w:styleId="Ttulo31">
    <w:name w:val="Título 31"/>
    <w:basedOn w:val="Ttulo10"/>
    <w:qFormat/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ista1">
    <w:name w:val="Lista1"/>
    <w:basedOn w:val="Corpodetexto"/>
    <w:qFormat/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Corpodetexto1">
    <w:name w:val="Corpo de texto1"/>
    <w:basedOn w:val="Normal"/>
    <w:qFormat/>
    <w:pPr>
      <w:spacing w:after="140" w:line="288" w:lineRule="auto"/>
    </w:pPr>
  </w:style>
  <w:style w:type="paragraph" w:customStyle="1" w:styleId="Cabealho1">
    <w:name w:val="Cabeçalho1"/>
    <w:basedOn w:val="Normal"/>
    <w:qFormat/>
    <w:pPr>
      <w:suppressLineNumbers/>
      <w:tabs>
        <w:tab w:val="center" w:pos="4818"/>
        <w:tab w:val="right" w:pos="9637"/>
      </w:tabs>
    </w:pPr>
  </w:style>
  <w:style w:type="paragraph" w:customStyle="1" w:styleId="Rodap1">
    <w:name w:val="Rodapé1"/>
    <w:basedOn w:val="Normal"/>
    <w:qFormat/>
    <w:pPr>
      <w:suppressLineNumbers/>
      <w:tabs>
        <w:tab w:val="center" w:pos="4818"/>
        <w:tab w:val="right" w:pos="9637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paragraph" w:customStyle="1" w:styleId="PargrafodaLista1">
    <w:name w:val="Parágrafo da Lista1"/>
    <w:basedOn w:val="Normal"/>
    <w:qFormat/>
    <w:pPr>
      <w:ind w:left="708"/>
    </w:pPr>
  </w:style>
  <w:style w:type="paragraph" w:customStyle="1" w:styleId="WW-header12">
    <w:name w:val="WW-header12"/>
    <w:basedOn w:val="Normal"/>
    <w:qFormat/>
    <w:pPr>
      <w:tabs>
        <w:tab w:val="center" w:pos="4320"/>
        <w:tab w:val="right" w:pos="8640"/>
      </w:tabs>
    </w:pPr>
  </w:style>
  <w:style w:type="paragraph" w:customStyle="1" w:styleId="WW-header1">
    <w:name w:val="WW-header1"/>
    <w:basedOn w:val="Normal"/>
    <w:qFormat/>
    <w:pPr>
      <w:tabs>
        <w:tab w:val="center" w:pos="4320"/>
        <w:tab w:val="right" w:pos="8640"/>
      </w:tabs>
    </w:pPr>
  </w:style>
  <w:style w:type="paragraph" w:customStyle="1" w:styleId="WW-header">
    <w:name w:val="WW-header"/>
    <w:basedOn w:val="Normal"/>
    <w:qFormat/>
    <w:pPr>
      <w:tabs>
        <w:tab w:val="center" w:pos="4320"/>
        <w:tab w:val="right" w:pos="8640"/>
      </w:tabs>
    </w:pPr>
  </w:style>
  <w:style w:type="paragraph" w:customStyle="1" w:styleId="Corpodetexto31">
    <w:name w:val="Corpo de texto 31"/>
    <w:basedOn w:val="Normal"/>
    <w:qFormat/>
    <w:rPr>
      <w:rFonts w:ascii="Arial" w:hAnsi="Arial" w:cs="Arial"/>
      <w:sz w:val="28"/>
      <w:szCs w:val="28"/>
    </w:rPr>
  </w:style>
  <w:style w:type="paragraph" w:customStyle="1" w:styleId="Legenda10">
    <w:name w:val="Legenda10"/>
    <w:basedOn w:val="Normal"/>
    <w:qFormat/>
    <w:pPr>
      <w:spacing w:before="120" w:after="120"/>
    </w:pPr>
    <w:rPr>
      <w:i/>
      <w:iCs/>
    </w:rPr>
  </w:style>
  <w:style w:type="paragraph" w:customStyle="1" w:styleId="WW-Index11">
    <w:name w:val="WW-Index11"/>
    <w:basedOn w:val="Normal"/>
    <w:qFormat/>
  </w:style>
  <w:style w:type="paragraph" w:customStyle="1" w:styleId="WW-caption11">
    <w:name w:val="WW-caption11"/>
    <w:basedOn w:val="Normal"/>
    <w:qFormat/>
    <w:pPr>
      <w:spacing w:before="120" w:after="120"/>
    </w:pPr>
    <w:rPr>
      <w:i/>
      <w:iCs/>
    </w:rPr>
  </w:style>
  <w:style w:type="paragraph" w:customStyle="1" w:styleId="WW-Title1">
    <w:name w:val="WW-Title1"/>
    <w:qFormat/>
    <w:pPr>
      <w:widowControl w:val="0"/>
    </w:pPr>
    <w:rPr>
      <w:rFonts w:eastAsia="Times New Roman"/>
      <w:color w:val="00000A"/>
      <w:sz w:val="24"/>
    </w:rPr>
  </w:style>
  <w:style w:type="paragraph" w:customStyle="1" w:styleId="WW-Index1">
    <w:name w:val="WW-Index1"/>
    <w:basedOn w:val="Normal"/>
    <w:qFormat/>
  </w:style>
  <w:style w:type="paragraph" w:customStyle="1" w:styleId="WW-caption1">
    <w:name w:val="WW-caption1"/>
    <w:basedOn w:val="Normal"/>
    <w:qFormat/>
    <w:pPr>
      <w:spacing w:before="120" w:after="120"/>
    </w:pPr>
    <w:rPr>
      <w:i/>
      <w:iCs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Index">
    <w:name w:val="WW-Index"/>
    <w:basedOn w:val="Normal"/>
    <w:qFormat/>
  </w:style>
  <w:style w:type="paragraph" w:customStyle="1" w:styleId="WW-caption">
    <w:name w:val="WW-caption"/>
    <w:basedOn w:val="Normal"/>
    <w:qFormat/>
    <w:pPr>
      <w:spacing w:before="120" w:after="120"/>
    </w:pPr>
    <w:rPr>
      <w:i/>
      <w:iCs/>
    </w:rPr>
  </w:style>
  <w:style w:type="paragraph" w:customStyle="1" w:styleId="WW-Ttulo">
    <w:name w:val="WW-Título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Title">
    <w:name w:val="WW-Title"/>
    <w:basedOn w:val="Normal"/>
    <w:qFormat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Captulo">
    <w:name w:val="Capítulo"/>
    <w:basedOn w:val="Normal"/>
    <w:qFormat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customStyle="1" w:styleId="Subttulo1">
    <w:name w:val="Subtítulo1"/>
    <w:basedOn w:val="WW-Title"/>
    <w:qFormat/>
    <w:pPr>
      <w:jc w:val="center"/>
    </w:pPr>
    <w:rPr>
      <w:i/>
      <w:iCs/>
    </w:rPr>
  </w:style>
  <w:style w:type="paragraph" w:customStyle="1" w:styleId="Citaes">
    <w:name w:val="Citações"/>
    <w:basedOn w:val="Normal"/>
    <w:qFormat/>
  </w:style>
  <w:style w:type="paragraph" w:customStyle="1" w:styleId="EndNoteBibliography">
    <w:name w:val="EndNote Bibliography"/>
    <w:basedOn w:val="Normal"/>
    <w:qFormat/>
    <w:rsid w:val="003D5EC0"/>
    <w:pPr>
      <w:widowControl/>
      <w:suppressAutoHyphens w:val="0"/>
    </w:pPr>
    <w:rPr>
      <w:rFonts w:ascii="Cambria" w:eastAsiaTheme="minorEastAsia" w:hAnsi="Cambria" w:cstheme="minorBidi"/>
      <w:color w:val="auto"/>
      <w:lang w:val="en-US" w:eastAsia="en-US" w:bidi="ar-SA"/>
    </w:rPr>
  </w:style>
  <w:style w:type="paragraph" w:styleId="PargrafodaLista">
    <w:name w:val="List Paragraph"/>
    <w:basedOn w:val="Normal"/>
    <w:uiPriority w:val="1"/>
    <w:qFormat/>
    <w:rsid w:val="00FE1D7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1F0973"/>
    <w:pPr>
      <w:widowControl/>
      <w:suppressAutoHyphens w:val="0"/>
      <w:spacing w:beforeAutospacing="1" w:afterAutospacing="1"/>
    </w:pPr>
    <w:rPr>
      <w:rFonts w:eastAsia="Times New Roman" w:cs="Times New Roman"/>
      <w:color w:val="auto"/>
      <w:lang w:eastAsia="pt-BR" w:bidi="ar-SA"/>
    </w:rPr>
  </w:style>
  <w:style w:type="paragraph" w:customStyle="1" w:styleId="Padro">
    <w:name w:val="Padrão"/>
    <w:qFormat/>
    <w:rsid w:val="00E8093F"/>
    <w:rPr>
      <w:rFonts w:ascii="Helvetica Neue" w:eastAsia="Arial Unicode MS" w:hAnsi="Helvetica Neue" w:cs="Arial Unicode MS"/>
      <w:color w:val="000000"/>
      <w:sz w:val="22"/>
      <w:szCs w:val="22"/>
      <w:lang w:eastAsia="pt-BR" w:bidi="ar-SA"/>
    </w:rPr>
  </w:style>
  <w:style w:type="paragraph" w:styleId="Partesuperior-zdoformulrio">
    <w:name w:val="HTML Top of Form"/>
    <w:basedOn w:val="Normal"/>
    <w:next w:val="Normal"/>
    <w:uiPriority w:val="99"/>
    <w:semiHidden/>
    <w:unhideWhenUsed/>
    <w:qFormat/>
    <w:rsid w:val="00FC1B15"/>
    <w:pPr>
      <w:widowControl/>
      <w:pBdr>
        <w:bottom w:val="single" w:sz="6" w:space="1" w:color="000000"/>
      </w:pBdr>
      <w:suppressAutoHyphens w:val="0"/>
      <w:jc w:val="center"/>
    </w:pPr>
    <w:rPr>
      <w:rFonts w:ascii="Arial" w:eastAsia="Times New Roman" w:hAnsi="Arial" w:cs="Arial"/>
      <w:vanish/>
      <w:color w:val="auto"/>
      <w:sz w:val="16"/>
      <w:szCs w:val="16"/>
      <w:lang w:eastAsia="pt-BR" w:bidi="ar-SA"/>
    </w:rPr>
  </w:style>
  <w:style w:type="paragraph" w:styleId="Parteinferiordoformulrio">
    <w:name w:val="HTML Bottom of Form"/>
    <w:basedOn w:val="Normal"/>
    <w:next w:val="Normal"/>
    <w:link w:val="ParteinferiordoformulrioChar"/>
    <w:uiPriority w:val="99"/>
    <w:semiHidden/>
    <w:unhideWhenUsed/>
    <w:qFormat/>
    <w:rsid w:val="00FC1B15"/>
    <w:pPr>
      <w:widowControl/>
      <w:pBdr>
        <w:top w:val="single" w:sz="6" w:space="1" w:color="000000"/>
      </w:pBdr>
      <w:suppressAutoHyphens w:val="0"/>
      <w:jc w:val="center"/>
    </w:pPr>
    <w:rPr>
      <w:rFonts w:ascii="Arial" w:eastAsia="Times New Roman" w:hAnsi="Arial" w:cs="Arial"/>
      <w:vanish/>
      <w:color w:val="auto"/>
      <w:sz w:val="16"/>
      <w:szCs w:val="16"/>
      <w:lang w:eastAsia="pt-BR" w:bidi="ar-SA"/>
    </w:rPr>
  </w:style>
  <w:style w:type="paragraph" w:customStyle="1" w:styleId="Default">
    <w:name w:val="Default"/>
    <w:qFormat/>
    <w:rsid w:val="00437153"/>
    <w:rPr>
      <w:rFonts w:ascii="Cambria" w:hAnsi="Cambria" w:cs="Cambria"/>
      <w:color w:val="000000"/>
      <w:sz w:val="24"/>
      <w:lang w:bidi="ar-SA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8A522B"/>
    <w:pPr>
      <w:tabs>
        <w:tab w:val="center" w:pos="4252"/>
        <w:tab w:val="right" w:pos="8504"/>
      </w:tabs>
    </w:pPr>
    <w:rPr>
      <w:szCs w:val="21"/>
    </w:rPr>
  </w:style>
  <w:style w:type="paragraph" w:styleId="Rodap">
    <w:name w:val="footer"/>
    <w:basedOn w:val="Normal"/>
    <w:link w:val="RodapChar"/>
    <w:unhideWhenUsed/>
    <w:rsid w:val="008A522B"/>
    <w:pPr>
      <w:tabs>
        <w:tab w:val="center" w:pos="4252"/>
        <w:tab w:val="right" w:pos="8504"/>
      </w:tabs>
    </w:pPr>
    <w:rPr>
      <w:szCs w:val="21"/>
    </w:rPr>
  </w:style>
  <w:style w:type="paragraph" w:customStyle="1" w:styleId="TableParagraph">
    <w:name w:val="Table Paragraph"/>
    <w:basedOn w:val="Normal"/>
    <w:uiPriority w:val="1"/>
    <w:qFormat/>
    <w:rsid w:val="00EC1098"/>
    <w:pPr>
      <w:suppressAutoHyphens w:val="0"/>
      <w:ind w:left="110"/>
    </w:pPr>
    <w:rPr>
      <w:rFonts w:ascii="Calibri" w:eastAsia="Calibri" w:hAnsi="Calibri" w:cs="Calibri"/>
      <w:color w:val="auto"/>
      <w:sz w:val="22"/>
      <w:szCs w:val="22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B5894"/>
    <w:rPr>
      <w:rFonts w:ascii="Tahoma" w:hAnsi="Tahoma"/>
      <w:sz w:val="16"/>
      <w:szCs w:val="14"/>
    </w:rPr>
  </w:style>
  <w:style w:type="paragraph" w:customStyle="1" w:styleId="Pa26">
    <w:name w:val="Pa26"/>
    <w:basedOn w:val="Default"/>
    <w:qFormat/>
    <w:rsid w:val="006D3CC0"/>
    <w:pPr>
      <w:widowControl w:val="0"/>
      <w:spacing w:line="161" w:lineRule="atLeast"/>
    </w:pPr>
    <w:rPr>
      <w:rFonts w:ascii="Times New Roman" w:hAnsi="Times New Roman" w:cs="Mangal"/>
      <w:color w:val="auto"/>
      <w:kern w:val="2"/>
      <w:lang w:bidi="hi-IN"/>
    </w:rPr>
  </w:style>
  <w:style w:type="paragraph" w:customStyle="1" w:styleId="textojustificadorecuoprimeiralinhaesp15">
    <w:name w:val="texto_justificado_recuo_primeira_linha_esp15"/>
    <w:basedOn w:val="Normal"/>
    <w:qFormat/>
    <w:rsid w:val="00B47B69"/>
    <w:pPr>
      <w:widowControl/>
      <w:suppressAutoHyphens w:val="0"/>
      <w:spacing w:beforeAutospacing="1" w:afterAutospacing="1" w:line="240" w:lineRule="auto"/>
      <w:jc w:val="left"/>
    </w:pPr>
    <w:rPr>
      <w:rFonts w:eastAsia="Times New Roman" w:cs="Times New Roman"/>
      <w:color w:val="auto"/>
      <w:lang w:eastAsia="pt-BR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table" w:styleId="Tabelacomgrade">
    <w:name w:val="Table Grid"/>
    <w:basedOn w:val="Tabelanormal"/>
    <w:uiPriority w:val="59"/>
    <w:rsid w:val="00A91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C1098"/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B127B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12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eso.org.br/wp-content/uploads/2019/12/Diretrizes-Download-Diretrizes-Brasileiras-de-Obesidade-2016.pdf" TargetMode="External"/><Relationship Id="rId13" Type="http://schemas.openxmlformats.org/officeDocument/2006/relationships/hyperlink" Target="https://doi.org/10.1016/j.mcna.2017.08.00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038/oby.2006.146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16/j.soard.2018.10.0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38/oby.2011.230" TargetMode="External"/><Relationship Id="rId10" Type="http://schemas.openxmlformats.org/officeDocument/2006/relationships/hyperlink" Target="https://doi.org/10.1590/0102-311X0000601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vsms.saude.gov.br/bvs/publicacoes/vigitel_brasil_2019_vigilancia_fatores_risco.pdf" TargetMode="External"/><Relationship Id="rId14" Type="http://schemas.openxmlformats.org/officeDocument/2006/relationships/hyperlink" Target="https://doi.org/10.1038/ijo.2013.1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118317-0BC1-4F54-A0D0-AC3FD5C7B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10</Pages>
  <Words>3662</Words>
  <Characters>19781</Characters>
  <Application>Microsoft Office Word</Application>
  <DocSecurity>8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Saúde do Estado de Goiás</Company>
  <LinksUpToDate>false</LinksUpToDate>
  <CharactersWithSpaces>23397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Aurelio de Melo Barbosa</dc:creator>
  <dc:description/>
  <cp:lastModifiedBy>Aurelio de Melo Barbosa</cp:lastModifiedBy>
  <cp:revision>381</cp:revision>
  <cp:lastPrinted>2022-11-25T12:38:00Z</cp:lastPrinted>
  <dcterms:created xsi:type="dcterms:W3CDTF">2023-01-10T14:05:00Z</dcterms:created>
  <dcterms:modified xsi:type="dcterms:W3CDTF">2023-01-13T18:41:00Z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http://www.zotero.org/styles/vancouver-superscript</vt:lpwstr>
  </property>
  <property fmtid="{D5CDD505-2E9C-101B-9397-08002B2CF9AE}" pid="3" name="Mendeley Document_1">
    <vt:lpwstr>True</vt:lpwstr>
  </property>
  <property fmtid="{D5CDD505-2E9C-101B-9397-08002B2CF9AE}" pid="4" name="Mendeley Recent Style Id 0_1">
    <vt:lpwstr>http://www.zotero.org/styles/american-political-science-association</vt:lpwstr>
  </property>
  <property fmtid="{D5CDD505-2E9C-101B-9397-08002B2CF9AE}" pid="5" name="Mendeley Recent Style Id 1_1">
    <vt:lpwstr>http://www.zotero.org/styles/american-sociological-association</vt:lpwstr>
  </property>
  <property fmtid="{D5CDD505-2E9C-101B-9397-08002B2CF9AE}" pid="6" name="Mendeley Recent Style Id 2_1">
    <vt:lpwstr>http://www.zotero.org/styles/chicago-author-date</vt:lpwstr>
  </property>
  <property fmtid="{D5CDD505-2E9C-101B-9397-08002B2CF9AE}" pid="7" name="Mendeley Recent Style Id 3_1">
    <vt:lpwstr>http://www.zotero.org/styles/harvard-cite-them-right</vt:lpwstr>
  </property>
  <property fmtid="{D5CDD505-2E9C-101B-9397-08002B2CF9AE}" pid="8" name="Mendeley Recent Style Id 4_1">
    <vt:lpwstr>http://www.zotero.org/styles/ieee</vt:lpwstr>
  </property>
  <property fmtid="{D5CDD505-2E9C-101B-9397-08002B2CF9AE}" pid="9" name="Mendeley Recent Style Id 5_1">
    <vt:lpwstr>http://www.zotero.org/styles/modern-humanities-research-association</vt:lpwstr>
  </property>
  <property fmtid="{D5CDD505-2E9C-101B-9397-08002B2CF9AE}" pid="10" name="Mendeley Recent Style Id 6_1">
    <vt:lpwstr>http://www.zotero.org/styles/national-library-of-medicine</vt:lpwstr>
  </property>
  <property fmtid="{D5CDD505-2E9C-101B-9397-08002B2CF9AE}" pid="11" name="Mendeley Recent Style Id 7_1">
    <vt:lpwstr>http://www.zotero.org/styles/associacao-brasileira-de-normas-tecnicas-ufrgs</vt:lpwstr>
  </property>
  <property fmtid="{D5CDD505-2E9C-101B-9397-08002B2CF9AE}" pid="12" name="Mendeley Recent Style Id 8_1">
    <vt:lpwstr>http://www.zotero.org/styles/vancouver</vt:lpwstr>
  </property>
  <property fmtid="{D5CDD505-2E9C-101B-9397-08002B2CF9AE}" pid="13" name="Mendeley Recent Style Id 9_1">
    <vt:lpwstr>http://www.zotero.org/styles/vancouver-superscript</vt:lpwstr>
  </property>
  <property fmtid="{D5CDD505-2E9C-101B-9397-08002B2CF9AE}" pid="14" name="Mendeley Recent Style Name 0_1">
    <vt:lpwstr>American Political Science Association</vt:lpwstr>
  </property>
  <property fmtid="{D5CDD505-2E9C-101B-9397-08002B2CF9AE}" pid="15" name="Mendeley Recent Style Name 1_1">
    <vt:lpwstr>American Sociological Association</vt:lpwstr>
  </property>
  <property fmtid="{D5CDD505-2E9C-101B-9397-08002B2CF9AE}" pid="16" name="Mendeley Recent Style Name 2_1">
    <vt:lpwstr>Chicago Manual of Style 16th edition (author-date)</vt:lpwstr>
  </property>
  <property fmtid="{D5CDD505-2E9C-101B-9397-08002B2CF9AE}" pid="17" name="Mendeley Recent Style Name 3_1">
    <vt:lpwstr>Cite Them Right 10th edition - Harvard</vt:lpwstr>
  </property>
  <property fmtid="{D5CDD505-2E9C-101B-9397-08002B2CF9AE}" pid="18" name="Mendeley Recent Style Name 4_1">
    <vt:lpwstr>IEEE</vt:lpwstr>
  </property>
  <property fmtid="{D5CDD505-2E9C-101B-9397-08002B2CF9AE}" pid="19" name="Mendeley Recent Style Name 5_1">
    <vt:lpwstr>Modern Humanities Research Association 3rd edition (note with bibliography)</vt:lpwstr>
  </property>
  <property fmtid="{D5CDD505-2E9C-101B-9397-08002B2CF9AE}" pid="20" name="Mendeley Recent Style Name 6_1">
    <vt:lpwstr>National Library of Medicine</vt:lpwstr>
  </property>
  <property fmtid="{D5CDD505-2E9C-101B-9397-08002B2CF9AE}" pid="21" name="Mendeley Recent Style Name 7_1">
    <vt:lpwstr>Universidade Federal do Rio Grande do Sul - SBUFRGS - ABNT (autoria completa) (Portuguese - Brazil)</vt:lpwstr>
  </property>
  <property fmtid="{D5CDD505-2E9C-101B-9397-08002B2CF9AE}" pid="22" name="Mendeley Recent Style Name 8_1">
    <vt:lpwstr>Vancouver</vt:lpwstr>
  </property>
  <property fmtid="{D5CDD505-2E9C-101B-9397-08002B2CF9AE}" pid="23" name="Mendeley Recent Style Name 9_1">
    <vt:lpwstr>Vancouver (superscript)</vt:lpwstr>
  </property>
  <property fmtid="{D5CDD505-2E9C-101B-9397-08002B2CF9AE}" pid="24" name="Mendeley Unique User Id_1">
    <vt:lpwstr>cc98c9f6-35a0-3037-8d58-f097d6452d34</vt:lpwstr>
  </property>
</Properties>
</file>